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72"/>
          <w:szCs w:val="72"/>
        </w:rPr>
      </w:pPr>
    </w:p>
    <w:p>
      <w:pPr>
        <w:jc w:val="center"/>
        <w:rPr>
          <w:b/>
          <w:color w:val="auto"/>
          <w:sz w:val="72"/>
          <w:szCs w:val="72"/>
        </w:rPr>
      </w:pPr>
      <w:r>
        <w:rPr>
          <w:rFonts w:hint="eastAsia"/>
          <w:b/>
          <w:color w:val="auto"/>
          <w:sz w:val="72"/>
          <w:szCs w:val="72"/>
        </w:rPr>
        <w:t>江苏建筑职业技术学院</w:t>
      </w:r>
    </w:p>
    <w:p>
      <w:pPr>
        <w:jc w:val="center"/>
        <w:rPr>
          <w:color w:val="auto"/>
          <w:sz w:val="72"/>
          <w:szCs w:val="72"/>
        </w:rPr>
      </w:pPr>
    </w:p>
    <w:p>
      <w:pPr>
        <w:jc w:val="center"/>
        <w:rPr>
          <w:b/>
          <w:color w:val="auto"/>
          <w:sz w:val="84"/>
          <w:szCs w:val="84"/>
        </w:rPr>
      </w:pPr>
      <w:r>
        <w:rPr>
          <w:rFonts w:hint="eastAsia"/>
          <w:b/>
          <w:color w:val="auto"/>
          <w:sz w:val="84"/>
          <w:szCs w:val="84"/>
        </w:rPr>
        <w:t>招标文件</w:t>
      </w:r>
    </w:p>
    <w:p>
      <w:pPr>
        <w:jc w:val="center"/>
        <w:rPr>
          <w:color w:val="auto"/>
          <w:sz w:val="72"/>
          <w:szCs w:val="72"/>
        </w:rPr>
      </w:pPr>
    </w:p>
    <w:p>
      <w:pPr>
        <w:jc w:val="center"/>
        <w:rPr>
          <w:color w:val="auto"/>
          <w:sz w:val="72"/>
          <w:szCs w:val="72"/>
        </w:rPr>
      </w:pPr>
    </w:p>
    <w:p>
      <w:pPr>
        <w:ind w:firstLine="964" w:firstLineChars="200"/>
        <w:rPr>
          <w:b/>
          <w:color w:val="auto"/>
          <w:sz w:val="48"/>
          <w:szCs w:val="48"/>
          <w:u w:val="single"/>
        </w:rPr>
      </w:pPr>
      <w:r>
        <w:rPr>
          <w:rFonts w:hint="eastAsia"/>
          <w:b/>
          <w:color w:val="auto"/>
          <w:sz w:val="48"/>
          <w:szCs w:val="48"/>
        </w:rPr>
        <w:t>项目：</w:t>
      </w:r>
      <w:r>
        <w:rPr>
          <w:rFonts w:hint="eastAsia"/>
          <w:color w:val="auto"/>
          <w:sz w:val="48"/>
          <w:szCs w:val="48"/>
          <w:u w:val="single"/>
        </w:rPr>
        <w:t xml:space="preserve"> 语音室改造项目设备采购 </w:t>
      </w:r>
    </w:p>
    <w:p>
      <w:pPr>
        <w:ind w:firstLine="964" w:firstLineChars="200"/>
        <w:rPr>
          <w:b/>
          <w:color w:val="auto"/>
          <w:sz w:val="48"/>
          <w:szCs w:val="48"/>
          <w:u w:val="single"/>
        </w:rPr>
      </w:pPr>
    </w:p>
    <w:p>
      <w:pPr>
        <w:ind w:firstLine="964" w:firstLineChars="200"/>
        <w:rPr>
          <w:b/>
          <w:color w:val="auto"/>
          <w:sz w:val="48"/>
          <w:szCs w:val="48"/>
          <w:u w:val="single"/>
        </w:rPr>
      </w:pPr>
      <w:r>
        <w:rPr>
          <w:rFonts w:hint="eastAsia"/>
          <w:b/>
          <w:color w:val="auto"/>
          <w:sz w:val="48"/>
          <w:szCs w:val="48"/>
        </w:rPr>
        <w:t>编号：</w:t>
      </w:r>
      <w:r>
        <w:rPr>
          <w:rFonts w:hint="eastAsia"/>
          <w:color w:val="auto"/>
          <w:sz w:val="48"/>
          <w:szCs w:val="48"/>
          <w:u w:val="single"/>
          <w:lang w:val="en-US" w:eastAsia="zh-CN"/>
        </w:rPr>
        <w:t>SXZX</w:t>
      </w:r>
      <w:r>
        <w:rPr>
          <w:rFonts w:hint="eastAsia"/>
          <w:color w:val="auto"/>
          <w:sz w:val="48"/>
          <w:szCs w:val="48"/>
          <w:u w:val="single"/>
        </w:rPr>
        <w:t>/H-20160</w:t>
      </w:r>
      <w:r>
        <w:rPr>
          <w:rFonts w:hint="eastAsia"/>
          <w:color w:val="auto"/>
          <w:sz w:val="48"/>
          <w:szCs w:val="48"/>
          <w:u w:val="single"/>
          <w:lang w:val="en-US" w:eastAsia="zh-CN"/>
        </w:rPr>
        <w:t>919</w:t>
      </w:r>
      <w:bookmarkStart w:id="1" w:name="_GoBack"/>
      <w:bookmarkEnd w:id="1"/>
      <w:r>
        <w:rPr>
          <w:rFonts w:hint="eastAsia"/>
          <w:color w:val="auto"/>
          <w:sz w:val="48"/>
          <w:szCs w:val="48"/>
          <w:u w:val="single"/>
        </w:rPr>
        <w:t>-0</w:t>
      </w:r>
      <w:r>
        <w:rPr>
          <w:rFonts w:hint="eastAsia"/>
          <w:color w:val="auto"/>
          <w:sz w:val="48"/>
          <w:szCs w:val="48"/>
          <w:u w:val="single"/>
          <w:lang w:val="en-US" w:eastAsia="zh-CN"/>
        </w:rPr>
        <w:t>60</w:t>
      </w:r>
      <w:r>
        <w:rPr>
          <w:rFonts w:hint="eastAsia"/>
          <w:color w:val="auto"/>
          <w:sz w:val="48"/>
          <w:szCs w:val="48"/>
          <w:u w:val="single"/>
        </w:rPr>
        <w:t xml:space="preserve">    </w:t>
      </w: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jc w:val="center"/>
        <w:rPr>
          <w:b/>
          <w:color w:val="auto"/>
          <w:sz w:val="48"/>
          <w:szCs w:val="48"/>
        </w:rPr>
      </w:pPr>
      <w:r>
        <w:rPr>
          <w:rFonts w:hint="eastAsia"/>
          <w:b/>
          <w:color w:val="auto"/>
          <w:sz w:val="48"/>
          <w:szCs w:val="48"/>
        </w:rPr>
        <w:t>江苏建筑职业技术学院</w:t>
      </w:r>
    </w:p>
    <w:p>
      <w:pPr>
        <w:jc w:val="center"/>
        <w:rPr>
          <w:color w:val="auto"/>
          <w:sz w:val="48"/>
          <w:szCs w:val="48"/>
        </w:rPr>
      </w:pPr>
    </w:p>
    <w:p>
      <w:pPr>
        <w:jc w:val="center"/>
        <w:rPr>
          <w:b/>
          <w:color w:val="auto"/>
          <w:sz w:val="48"/>
          <w:szCs w:val="48"/>
          <w:u w:val="none"/>
        </w:rPr>
      </w:pPr>
      <w:r>
        <w:rPr>
          <w:rFonts w:hint="eastAsia"/>
          <w:color w:val="auto"/>
          <w:sz w:val="48"/>
          <w:szCs w:val="48"/>
          <w:u w:val="none"/>
        </w:rPr>
        <w:t xml:space="preserve"> 2016</w:t>
      </w:r>
      <w:r>
        <w:rPr>
          <w:rFonts w:hint="eastAsia"/>
          <w:b/>
          <w:color w:val="auto"/>
          <w:sz w:val="48"/>
          <w:szCs w:val="48"/>
          <w:u w:val="none"/>
        </w:rPr>
        <w:t>年</w:t>
      </w:r>
      <w:r>
        <w:rPr>
          <w:rFonts w:hint="eastAsia"/>
          <w:color w:val="auto"/>
          <w:sz w:val="48"/>
          <w:szCs w:val="48"/>
          <w:u w:val="none"/>
        </w:rPr>
        <w:t>9</w:t>
      </w:r>
      <w:r>
        <w:rPr>
          <w:rFonts w:hint="eastAsia"/>
          <w:b/>
          <w:color w:val="auto"/>
          <w:sz w:val="48"/>
          <w:szCs w:val="48"/>
          <w:u w:val="none"/>
        </w:rPr>
        <w:t>月</w:t>
      </w:r>
      <w:r>
        <w:rPr>
          <w:rFonts w:hint="eastAsia"/>
          <w:color w:val="auto"/>
          <w:sz w:val="48"/>
          <w:szCs w:val="48"/>
          <w:u w:val="none"/>
          <w:lang w:val="en-US" w:eastAsia="zh-CN"/>
        </w:rPr>
        <w:t>19</w:t>
      </w:r>
      <w:r>
        <w:rPr>
          <w:rFonts w:hint="eastAsia"/>
          <w:b/>
          <w:color w:val="auto"/>
          <w:sz w:val="48"/>
          <w:szCs w:val="48"/>
          <w:u w:val="none"/>
        </w:rPr>
        <w:t>日</w:t>
      </w:r>
    </w:p>
    <w:p>
      <w:pPr>
        <w:jc w:val="center"/>
        <w:rPr>
          <w:b/>
          <w:color w:val="auto"/>
          <w:sz w:val="48"/>
          <w:szCs w:val="48"/>
        </w:rPr>
      </w:pPr>
      <w:r>
        <w:rPr>
          <w:rFonts w:hint="eastAsia"/>
          <w:b/>
          <w:color w:val="auto"/>
          <w:sz w:val="48"/>
          <w:szCs w:val="48"/>
        </w:rPr>
        <w:br w:type="page"/>
      </w:r>
    </w:p>
    <w:p>
      <w:pPr>
        <w:spacing w:line="360" w:lineRule="auto"/>
        <w:ind w:firstLine="1080" w:firstLineChars="300"/>
        <w:rPr>
          <w:b/>
          <w:color w:val="auto"/>
          <w:sz w:val="36"/>
          <w:szCs w:val="36"/>
        </w:rPr>
      </w:pPr>
      <w:r>
        <w:rPr>
          <w:rFonts w:hint="eastAsia"/>
          <w:color w:val="auto"/>
          <w:sz w:val="36"/>
          <w:szCs w:val="36"/>
          <w:u w:val="single"/>
        </w:rPr>
        <w:t xml:space="preserve">  语音室改造项目设备  </w:t>
      </w:r>
      <w:r>
        <w:rPr>
          <w:rFonts w:hint="eastAsia"/>
          <w:b/>
          <w:color w:val="auto"/>
          <w:sz w:val="36"/>
          <w:szCs w:val="36"/>
        </w:rPr>
        <w:t>采购招标文件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黑体" w:eastAsia="黑体"/>
          <w:b/>
          <w:color w:val="auto"/>
          <w:sz w:val="28"/>
          <w:szCs w:val="28"/>
        </w:rPr>
        <w:t xml:space="preserve"> </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ascii="Times New Roman" w:hAnsi="Times New Roman" w:eastAsia="仿宋_GB2312" w:cs="Times New Roman"/>
          <w:color w:val="auto"/>
          <w:sz w:val="28"/>
          <w:szCs w:val="28"/>
        </w:rPr>
        <w:t xml:space="preserve"> </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ascii="Times New Roman" w:hAnsi="Times New Roman" w:eastAsia="仿宋_GB2312" w:cs="Times New Roman"/>
          <w:color w:val="auto"/>
          <w:sz w:val="28"/>
          <w:szCs w:val="28"/>
        </w:rPr>
        <w:t xml:space="preserve"> </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ascii="Times New Roman" w:hAnsi="Times New Roman" w:eastAsia="仿宋_GB2312" w:cs="Times New Roman"/>
          <w:b/>
          <w:color w:val="auto"/>
          <w:sz w:val="28"/>
          <w:szCs w:val="28"/>
        </w:rPr>
        <w:t xml:space="preserve"> </w:t>
      </w:r>
      <w:r>
        <w:rPr>
          <w:rFonts w:hint="eastAsia" w:ascii="宋体" w:hAnsi="宋体" w:eastAsia="仿宋_GB2312"/>
          <w:color w:val="auto"/>
          <w:sz w:val="28"/>
          <w:szCs w:val="28"/>
        </w:rPr>
        <w:t>为保证</w:t>
      </w:r>
      <w:r>
        <w:rPr>
          <w:rFonts w:hint="eastAsia" w:ascii="宋体" w:hAnsi="宋体" w:eastAsia="仿宋_GB2312"/>
          <w:color w:val="auto"/>
          <w:sz w:val="28"/>
          <w:szCs w:val="28"/>
          <w:u w:val="single"/>
        </w:rPr>
        <w:t xml:space="preserve">  语音室改造  </w:t>
      </w:r>
      <w:r>
        <w:rPr>
          <w:rFonts w:hint="eastAsia" w:ascii="宋体" w:hAnsi="宋体" w:eastAsia="仿宋_GB2312"/>
          <w:color w:val="auto"/>
          <w:sz w:val="28"/>
          <w:szCs w:val="28"/>
        </w:rPr>
        <w:t>项目进度和质量，现决定</w:t>
      </w:r>
      <w:r>
        <w:rPr>
          <w:rFonts w:hint="eastAsia" w:eastAsia="仿宋_GB2312"/>
          <w:color w:val="auto"/>
          <w:sz w:val="28"/>
          <w:szCs w:val="28"/>
        </w:rPr>
        <w:t>以公开招标的方式采购该项目所需</w:t>
      </w:r>
      <w:r>
        <w:rPr>
          <w:rFonts w:hint="eastAsia" w:ascii="宋体" w:hAnsi="宋体" w:eastAsia="仿宋_GB2312"/>
          <w:color w:val="auto"/>
          <w:sz w:val="28"/>
          <w:szCs w:val="28"/>
          <w:u w:val="single"/>
        </w:rPr>
        <w:t xml:space="preserve">  </w:t>
      </w:r>
      <w:r>
        <w:rPr>
          <w:rFonts w:ascii="宋体" w:hAnsi="宋体" w:eastAsia="仿宋_GB2312"/>
          <w:color w:val="auto"/>
          <w:sz w:val="28"/>
          <w:szCs w:val="28"/>
          <w:u w:val="single"/>
        </w:rPr>
        <w:t>智能语音交互系统，包括语言教学系统、专业学生终端卡、网络交换机、主控桌椅</w:t>
      </w:r>
      <w:r>
        <w:rPr>
          <w:rFonts w:hint="eastAsia" w:ascii="宋体" w:hAnsi="宋体" w:eastAsia="仿宋_GB2312"/>
          <w:color w:val="auto"/>
          <w:sz w:val="28"/>
          <w:szCs w:val="28"/>
          <w:u w:val="single"/>
        </w:rPr>
        <w:t>（或改造）</w:t>
      </w:r>
      <w:r>
        <w:rPr>
          <w:rFonts w:ascii="宋体" w:hAnsi="宋体" w:eastAsia="仿宋_GB2312"/>
          <w:color w:val="auto"/>
          <w:sz w:val="28"/>
          <w:szCs w:val="28"/>
          <w:u w:val="single"/>
        </w:rPr>
        <w:t>、学生桌椅</w:t>
      </w:r>
      <w:r>
        <w:rPr>
          <w:rFonts w:hint="eastAsia" w:ascii="宋体" w:hAnsi="宋体" w:eastAsia="仿宋_GB2312"/>
          <w:color w:val="auto"/>
          <w:sz w:val="28"/>
          <w:szCs w:val="28"/>
          <w:u w:val="single"/>
        </w:rPr>
        <w:t>（或改造）</w:t>
      </w:r>
      <w:r>
        <w:rPr>
          <w:rFonts w:ascii="宋体" w:hAnsi="宋体" w:eastAsia="仿宋_GB2312"/>
          <w:color w:val="auto"/>
          <w:sz w:val="28"/>
          <w:szCs w:val="28"/>
          <w:u w:val="single"/>
        </w:rPr>
        <w:t>、软件及其辅助设备</w:t>
      </w:r>
      <w:r>
        <w:rPr>
          <w:rFonts w:hint="eastAsia" w:ascii="宋体" w:hAnsi="宋体" w:eastAsia="仿宋_GB2312"/>
          <w:color w:val="auto"/>
          <w:sz w:val="28"/>
          <w:szCs w:val="28"/>
          <w:u w:val="single"/>
        </w:rPr>
        <w:t xml:space="preserve">等  </w:t>
      </w:r>
      <w:r>
        <w:rPr>
          <w:rFonts w:hint="eastAsia" w:ascii="宋体" w:hAnsi="宋体"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w:t>
      </w:r>
      <w:r>
        <w:rPr>
          <w:rFonts w:hint="eastAsia" w:eastAsia="仿宋_GB2312"/>
          <w:color w:val="auto"/>
          <w:sz w:val="28"/>
          <w:szCs w:val="28"/>
        </w:rPr>
        <w:t xml:space="preserve"> 本次招标的招标人为江苏建筑职业技术学院。</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w:t>
      </w:r>
      <w:r>
        <w:rPr>
          <w:rFonts w:hint="eastAsia" w:eastAsia="仿宋_GB2312"/>
          <w:color w:val="auto"/>
          <w:sz w:val="28"/>
          <w:szCs w:val="28"/>
          <w:u w:val="single"/>
        </w:rPr>
        <w:t xml:space="preserve">  语音室改造项目设备  </w:t>
      </w:r>
      <w:r>
        <w:rPr>
          <w:rFonts w:hint="eastAsia" w:eastAsia="仿宋_GB2312"/>
          <w:color w:val="auto"/>
          <w:sz w:val="28"/>
          <w:szCs w:val="28"/>
        </w:rPr>
        <w:t>（详见附录</w:t>
      </w:r>
      <w:r>
        <w:rPr>
          <w:rFonts w:ascii="Times New Roman" w:hAnsi="Times New Roman" w:eastAsia="仿宋_GB2312" w:cs="Times New Roman"/>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包括供货、运输、装卸、服务，税费等一切费用）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ascii="Times New Roman" w:hAnsi="Times New Roman" w:cs="Times New Roman"/>
          <w:b/>
          <w:color w:val="auto"/>
          <w:sz w:val="28"/>
          <w:szCs w:val="28"/>
        </w:rPr>
        <w:t xml:space="preserve"> </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具有独立法人资格，且具有相关产品生产或代理资质；</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具有良好的企业资信，有较好的销售同类产品的业绩，近年无不良业绩；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eastAsia="仿宋_GB2312"/>
          <w:b/>
          <w:color w:val="auto"/>
          <w:sz w:val="28"/>
          <w:szCs w:val="28"/>
        </w:rPr>
        <w:t xml:space="preserve"> </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投标书（附录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国家规定的相关认证书复印件（无规定的除外）、相关检测报告、产品和服务的详细介绍等；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产品质量检测报告及其它可证明其产品和服务符合性的有效文件或其复印件； </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j) </w:t>
      </w:r>
      <w:r>
        <w:rPr>
          <w:rFonts w:hint="eastAsia" w:eastAsia="仿宋_GB2312"/>
          <w:color w:val="auto"/>
          <w:sz w:val="28"/>
          <w:szCs w:val="28"/>
        </w:rPr>
        <w:t>证明投标人资信、业绩等的有效文件或其复印件；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k)</w:t>
      </w:r>
      <w:r>
        <w:rPr>
          <w:rFonts w:hint="eastAsia" w:eastAsia="仿宋_GB2312"/>
          <w:color w:val="auto"/>
          <w:sz w:val="28"/>
          <w:szCs w:val="28"/>
        </w:rPr>
        <w:t xml:space="preserve"> 投标报价明细表（附录</w:t>
      </w:r>
      <w:r>
        <w:rPr>
          <w:rFonts w:hint="eastAsia" w:ascii="Times New Roman" w:hAnsi="Times New Roman" w:eastAsia="仿宋_GB2312" w:cs="Times New Roman"/>
          <w:color w:val="auto"/>
          <w:sz w:val="28"/>
          <w:szCs w:val="28"/>
        </w:rPr>
        <w:t>D</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：投标书、投标报价明细表中的报价应用人民币表示。投标人应在投标报价明细表中写明投标产品的单价和投标总价。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投标人具有提供相应产品和服务所需的财务、技术和生产能力；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rPr>
        <w:t>投标人具有提供相应产品和服务所需的运送、维护、保养、修理、储存备件和售后服务等方面的能力。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b/>
          <w:color w:val="auto"/>
          <w:sz w:val="28"/>
          <w:szCs w:val="28"/>
        </w:rPr>
        <w:t xml:space="preserve"> </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一份说明所有细节的清单。包括：投标产品的型号、规格、技术参数、技术条件、必要的图纸资料说明；</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产品和服务采用的标准、主要的监测资源。</w:t>
      </w:r>
    </w:p>
    <w:p>
      <w:pPr>
        <w:spacing w:line="360" w:lineRule="auto"/>
        <w:ind w:firstLine="560" w:firstLineChars="200"/>
        <w:rPr>
          <w:rFonts w:eastAsia="仿宋_GB2312"/>
          <w:color w:val="auto"/>
          <w:sz w:val="28"/>
          <w:szCs w:val="28"/>
        </w:rPr>
      </w:pPr>
      <w:r>
        <w:rPr>
          <w:rFonts w:hint="eastAsia" w:eastAsia="仿宋_GB2312"/>
          <w:color w:val="auto"/>
          <w:sz w:val="28"/>
          <w:szCs w:val="28"/>
        </w:rPr>
        <w:t>注：如投标人为经销商，则应填报投标人自身的主要的监测资源和其所经销的产品的生产厂商的主要的监测资源。</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投标文件须打印并装订，报送正本一册、副本四册(副本可复印)。每份投标文件须清楚地标明“正本”或“副本”字样，正本与副本必须一致；若正本与副本不一致，以正本为准。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投标文件必须密封在专门的密封袋中，密封袋骑缝处用封条密封，加盖单位公章及法定代表人章，并在封袋正面写明招标人名称、项目名称及投标人名称。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rPr>
        <w:t>投标报价应包含投标人承诺的质量保证和售后服务费用，以及所购产品和服务所需缴纳的所有税费和货物发送到指定地点并安装调试所需的一切费用（包括技术资料和技术配合费、技术服务费、设计联络会费用、装车费、运费、卸车费、包装费等）。</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rPr>
        <w:t xml:space="preserve"> 产品的价格为产品和服务的最终交付价格，不受任何因素的影响而调整。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ind w:firstLine="560" w:firstLineChars="200"/>
        <w:rPr>
          <w:rFonts w:eastAsia="仿宋_GB2312"/>
          <w:color w:val="auto"/>
          <w:sz w:val="28"/>
          <w:szCs w:val="28"/>
        </w:rPr>
      </w:pPr>
      <w:r>
        <w:rPr>
          <w:rFonts w:hint="eastAsia" w:eastAsia="仿宋_GB2312"/>
          <w:color w:val="auto"/>
          <w:sz w:val="28"/>
          <w:szCs w:val="28"/>
        </w:rPr>
        <w:t>招标文件售价人民币贰佰元，一经售出概不退还。</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8.1</w:t>
      </w:r>
      <w:r>
        <w:rPr>
          <w:rFonts w:hint="eastAsia" w:eastAsia="仿宋_GB2312"/>
          <w:b/>
          <w:color w:val="auto"/>
          <w:sz w:val="28"/>
          <w:szCs w:val="28"/>
        </w:rPr>
        <w:t xml:space="preserve"> </w:t>
      </w:r>
      <w:r>
        <w:rPr>
          <w:rFonts w:hint="eastAsia" w:eastAsia="仿宋_GB2312"/>
          <w:color w:val="auto"/>
          <w:sz w:val="28"/>
          <w:szCs w:val="28"/>
        </w:rPr>
        <w:t>投标人在报送投标文件的同时，需交纳投标保证金（现金）人民币</w:t>
      </w:r>
      <w:r>
        <w:rPr>
          <w:rFonts w:hint="eastAsia" w:eastAsia="仿宋_GB2312"/>
          <w:color w:val="auto"/>
          <w:sz w:val="28"/>
          <w:szCs w:val="28"/>
          <w:u w:val="single"/>
        </w:rPr>
        <w:t xml:space="preserve">  贰万 </w:t>
      </w:r>
      <w:r>
        <w:rPr>
          <w:rFonts w:hint="eastAsia" w:eastAsia="仿宋_GB2312"/>
          <w:color w:val="auto"/>
          <w:sz w:val="28"/>
          <w:szCs w:val="28"/>
        </w:rPr>
        <w:t>元（自带信封，现场封装）。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8.2</w:t>
      </w:r>
      <w:r>
        <w:rPr>
          <w:rFonts w:hint="eastAsia" w:eastAsia="仿宋_GB2312"/>
          <w:color w:val="auto"/>
          <w:sz w:val="28"/>
          <w:szCs w:val="28"/>
        </w:rPr>
        <w:t xml:space="preserve"> 未中标投标人的投标保证金，在开标结束后当天予以退还，不计利息。</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8.3</w:t>
      </w:r>
      <w:r>
        <w:rPr>
          <w:rFonts w:hint="eastAsia" w:eastAsia="仿宋_GB2312"/>
          <w:b/>
          <w:color w:val="auto"/>
          <w:sz w:val="28"/>
          <w:szCs w:val="28"/>
        </w:rPr>
        <w:t xml:space="preserve"> </w:t>
      </w:r>
      <w:r>
        <w:rPr>
          <w:rFonts w:hint="eastAsia" w:eastAsia="仿宋_GB2312"/>
          <w:color w:val="auto"/>
          <w:sz w:val="28"/>
          <w:szCs w:val="28"/>
        </w:rPr>
        <w:t>中标的投标人的应交履约保证金</w:t>
      </w:r>
      <w:r>
        <w:rPr>
          <w:rFonts w:hint="eastAsia" w:eastAsia="仿宋_GB2312"/>
          <w:color w:val="auto"/>
          <w:sz w:val="28"/>
          <w:szCs w:val="28"/>
          <w:u w:val="single"/>
        </w:rPr>
        <w:t>贰万元</w:t>
      </w:r>
      <w:r>
        <w:rPr>
          <w:rFonts w:hint="eastAsia" w:eastAsia="仿宋_GB2312"/>
          <w:color w:val="auto"/>
          <w:sz w:val="28"/>
          <w:szCs w:val="28"/>
        </w:rPr>
        <w:t>，在切实履约且所供产品和服务验收合格后一周内予以退还，不计利息。</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8.4</w:t>
      </w:r>
      <w:r>
        <w:rPr>
          <w:rFonts w:hint="eastAsia" w:eastAsia="仿宋_GB2312"/>
          <w:color w:val="auto"/>
          <w:sz w:val="28"/>
          <w:szCs w:val="28"/>
        </w:rPr>
        <w:t xml:space="preserve"> 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w:t>
      </w:r>
      <w:r>
        <w:rPr>
          <w:rFonts w:hint="eastAsia" w:ascii="仿宋" w:hAnsi="仿宋" w:eastAsia="仿宋"/>
          <w:color w:val="auto"/>
          <w:sz w:val="28"/>
        </w:rPr>
        <w:t>未能按期供货，造成学校工作计划无法按期完成的。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rPr>
        <w:t>招标文件答疑及现场勘察</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9.1</w:t>
      </w:r>
      <w:r>
        <w:rPr>
          <w:rFonts w:hint="eastAsia" w:eastAsia="仿宋_GB2312"/>
          <w:color w:val="auto"/>
          <w:sz w:val="28"/>
          <w:szCs w:val="28"/>
        </w:rPr>
        <w:t xml:space="preserve"> 投标人如对招标文件的条款有疑问，应在收到标书</w:t>
      </w:r>
      <w:r>
        <w:rPr>
          <w:rFonts w:ascii="Times New Roman" w:hAnsi="Times New Roman" w:eastAsia="仿宋_GB2312" w:cs="Times New Roman"/>
          <w:color w:val="auto"/>
          <w:sz w:val="28"/>
          <w:szCs w:val="28"/>
        </w:rPr>
        <w:t>24</w:t>
      </w:r>
      <w:r>
        <w:rPr>
          <w:rFonts w:hint="eastAsia" w:eastAsia="仿宋_GB2312"/>
          <w:color w:val="auto"/>
          <w:sz w:val="28"/>
          <w:szCs w:val="28"/>
        </w:rPr>
        <w:t>小时（工作时间）内以书面形式提交招标人。</w:t>
      </w:r>
    </w:p>
    <w:p>
      <w:pPr>
        <w:jc w:val="left"/>
        <w:rPr>
          <w:rFonts w:eastAsia="仿宋_GB2312"/>
          <w:color w:val="auto"/>
          <w:sz w:val="28"/>
          <w:szCs w:val="28"/>
        </w:rPr>
      </w:pPr>
      <w:r>
        <w:rPr>
          <w:rFonts w:ascii="Times New Roman" w:hAnsi="Times New Roman" w:eastAsia="仿宋_GB2312" w:cs="Times New Roman"/>
          <w:b/>
          <w:color w:val="auto"/>
          <w:sz w:val="28"/>
          <w:szCs w:val="28"/>
        </w:rPr>
        <w:t>9.2</w:t>
      </w:r>
      <w:r>
        <w:rPr>
          <w:rFonts w:hint="eastAsia" w:eastAsia="仿宋_GB2312"/>
          <w:color w:val="auto"/>
          <w:sz w:val="28"/>
          <w:szCs w:val="28"/>
        </w:rPr>
        <w:t xml:space="preserve"> </w:t>
      </w:r>
      <w:r>
        <w:rPr>
          <w:rFonts w:hint="eastAsia" w:eastAsia="仿宋_GB2312"/>
          <w:color w:val="auto"/>
          <w:sz w:val="28"/>
          <w:szCs w:val="28"/>
          <w:u w:val="single"/>
        </w:rPr>
        <w:t xml:space="preserve"> 2016  </w:t>
      </w:r>
      <w:r>
        <w:rPr>
          <w:rFonts w:hint="eastAsia" w:eastAsia="仿宋_GB2312"/>
          <w:color w:val="auto"/>
          <w:sz w:val="28"/>
          <w:szCs w:val="28"/>
        </w:rPr>
        <w:t>年</w:t>
      </w:r>
      <w:r>
        <w:rPr>
          <w:rFonts w:hint="eastAsia" w:eastAsia="仿宋_GB2312"/>
          <w:color w:val="auto"/>
          <w:sz w:val="28"/>
          <w:szCs w:val="28"/>
          <w:u w:val="single"/>
        </w:rPr>
        <w:t xml:space="preserve"> 9 </w:t>
      </w:r>
      <w:r>
        <w:rPr>
          <w:rFonts w:hint="eastAsia"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23</w:t>
      </w:r>
      <w:r>
        <w:rPr>
          <w:rFonts w:hint="eastAsia" w:eastAsia="仿宋_GB2312"/>
          <w:color w:val="auto"/>
          <w:sz w:val="28"/>
          <w:szCs w:val="28"/>
          <w:u w:val="single"/>
        </w:rPr>
        <w:t xml:space="preserve"> </w:t>
      </w:r>
      <w:r>
        <w:rPr>
          <w:rFonts w:hint="eastAsia" w:eastAsia="仿宋_GB2312"/>
          <w:color w:val="auto"/>
          <w:sz w:val="28"/>
          <w:szCs w:val="28"/>
        </w:rPr>
        <w:t>日</w:t>
      </w:r>
      <w:r>
        <w:rPr>
          <w:rFonts w:hint="eastAsia" w:eastAsia="仿宋_GB2312"/>
          <w:color w:val="auto"/>
          <w:sz w:val="28"/>
          <w:szCs w:val="28"/>
          <w:u w:val="single"/>
        </w:rPr>
        <w:t xml:space="preserve"> 17:00   </w:t>
      </w:r>
      <w:r>
        <w:rPr>
          <w:rFonts w:hint="eastAsia" w:ascii="仿宋" w:hAnsi="仿宋" w:eastAsia="仿宋"/>
          <w:color w:val="auto"/>
          <w:sz w:val="28"/>
        </w:rPr>
        <w:t>之前答疑及进行现场勘察，联系人：赵老师  联系电话：15852236978</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投标文件报送截止时间及送达地点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10.1</w:t>
      </w:r>
      <w:r>
        <w:rPr>
          <w:rFonts w:hint="eastAsia" w:eastAsia="仿宋_GB2312"/>
          <w:color w:val="auto"/>
          <w:sz w:val="28"/>
          <w:szCs w:val="28"/>
        </w:rPr>
        <w:t xml:space="preserve"> 截止时间：</w:t>
      </w:r>
      <w:r>
        <w:rPr>
          <w:rFonts w:hint="eastAsia" w:eastAsia="仿宋_GB2312"/>
          <w:color w:val="auto"/>
          <w:sz w:val="28"/>
          <w:szCs w:val="28"/>
          <w:u w:val="single"/>
        </w:rPr>
        <w:t xml:space="preserve">   </w:t>
      </w:r>
      <w:bookmarkStart w:id="0" w:name="OLE_LINK1"/>
      <w:r>
        <w:rPr>
          <w:rFonts w:hint="eastAsia" w:eastAsia="仿宋_GB2312"/>
          <w:color w:val="auto"/>
          <w:sz w:val="28"/>
          <w:szCs w:val="28"/>
          <w:u w:val="single"/>
        </w:rPr>
        <w:t xml:space="preserve">开标前半小时 </w:t>
      </w:r>
      <w:bookmarkEnd w:id="0"/>
      <w:r>
        <w:rPr>
          <w:rFonts w:hint="eastAsia" w:eastAsia="仿宋_GB2312"/>
          <w:color w:val="auto"/>
          <w:sz w:val="28"/>
          <w:szCs w:val="28"/>
          <w:u w:val="single"/>
        </w:rPr>
        <w:t xml:space="preserve">     </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10.2</w:t>
      </w:r>
      <w:r>
        <w:rPr>
          <w:rFonts w:hint="eastAsia" w:eastAsia="仿宋_GB2312"/>
          <w:color w:val="auto"/>
          <w:sz w:val="28"/>
          <w:szCs w:val="28"/>
        </w:rPr>
        <w:t xml:space="preserve"> 送达地点：</w:t>
      </w:r>
      <w:r>
        <w:rPr>
          <w:rFonts w:hint="eastAsia" w:eastAsia="仿宋_GB2312"/>
          <w:color w:val="auto"/>
          <w:sz w:val="28"/>
          <w:szCs w:val="28"/>
          <w:u w:val="single"/>
        </w:rPr>
        <w:t xml:space="preserve">  江苏建筑职业技术学院行政楼4 层403 室 </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11</w:t>
      </w:r>
      <w:r>
        <w:rPr>
          <w:rFonts w:hint="eastAsia" w:eastAsia="仿宋_GB2312"/>
          <w:b/>
          <w:color w:val="auto"/>
          <w:sz w:val="28"/>
          <w:szCs w:val="28"/>
        </w:rPr>
        <w:t xml:space="preserve"> 投标人资格审查</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11.1</w:t>
      </w:r>
      <w:r>
        <w:rPr>
          <w:rFonts w:ascii="Times New Roman" w:hAnsi="Times New Roman" w:eastAsia="仿宋_GB2312" w:cs="Times New Roman"/>
          <w:color w:val="auto"/>
          <w:sz w:val="28"/>
          <w:szCs w:val="28"/>
        </w:rPr>
        <w:t xml:space="preserve"> </w:t>
      </w:r>
      <w:r>
        <w:rPr>
          <w:rFonts w:hint="eastAsia" w:eastAsia="仿宋_GB2312"/>
          <w:color w:val="auto"/>
          <w:sz w:val="28"/>
          <w:szCs w:val="28"/>
        </w:rPr>
        <w:t>投标人资格审查时间</w:t>
      </w:r>
      <w:r>
        <w:rPr>
          <w:rFonts w:hint="eastAsia" w:eastAsia="仿宋_GB2312"/>
          <w:color w:val="auto"/>
          <w:sz w:val="28"/>
          <w:szCs w:val="28"/>
          <w:u w:val="single"/>
        </w:rPr>
        <w:t xml:space="preserve">  开标前半小时      </w:t>
      </w:r>
      <w:r>
        <w:rPr>
          <w:rFonts w:hint="eastAsia"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11.2</w:t>
      </w:r>
      <w:r>
        <w:rPr>
          <w:rFonts w:hint="eastAsia" w:eastAsia="仿宋_GB2312"/>
          <w:color w:val="auto"/>
          <w:sz w:val="28"/>
          <w:szCs w:val="28"/>
        </w:rPr>
        <w:t xml:space="preserve"> 投标人须提供以下资料：</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专业资质证书原件或副本原件；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授权委托书</w:t>
      </w:r>
      <w:r>
        <w:rPr>
          <w:rFonts w:eastAsia="仿宋_GB2312"/>
          <w:color w:val="auto"/>
          <w:sz w:val="28"/>
          <w:szCs w:val="28"/>
        </w:rPr>
        <w:t>(</w:t>
      </w:r>
      <w:r>
        <w:rPr>
          <w:rFonts w:hint="eastAsia" w:eastAsia="仿宋_GB2312"/>
          <w:color w:val="auto"/>
          <w:sz w:val="28"/>
          <w:szCs w:val="28"/>
        </w:rPr>
        <w:t>如有授权</w:t>
      </w:r>
      <w:r>
        <w:rPr>
          <w:rFonts w:eastAsia="仿宋_GB2312"/>
          <w:color w:val="auto"/>
          <w:sz w:val="28"/>
          <w:szCs w:val="28"/>
        </w:rPr>
        <w:t>)</w:t>
      </w:r>
      <w:r>
        <w:rPr>
          <w:rFonts w:hint="eastAsia" w:eastAsia="仿宋_GB2312"/>
          <w:color w:val="auto"/>
          <w:sz w:val="28"/>
          <w:szCs w:val="28"/>
        </w:rPr>
        <w:t>原件和被委托人身份证原件；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投标产品的代理或经销资质证书；</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国家规定的相关认证书原件（无规定的除外）。</w:t>
      </w:r>
    </w:p>
    <w:p>
      <w:pPr>
        <w:spacing w:line="360" w:lineRule="auto"/>
        <w:ind w:firstLine="560" w:firstLineChars="200"/>
        <w:rPr>
          <w:rFonts w:eastAsia="仿宋_GB2312"/>
          <w:color w:val="auto"/>
          <w:sz w:val="28"/>
          <w:szCs w:val="28"/>
        </w:rPr>
      </w:pPr>
      <w:r>
        <w:rPr>
          <w:rFonts w:hint="eastAsia" w:eastAsia="仿宋_GB2312"/>
          <w:color w:val="auto"/>
          <w:sz w:val="28"/>
          <w:szCs w:val="28"/>
        </w:rPr>
        <w:t>以上资料不全将按资格审查不合格论处，取消其投标资格。</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w:t>
      </w:r>
      <w:r>
        <w:rPr>
          <w:rFonts w:hint="eastAsia" w:eastAsia="仿宋_GB2312"/>
          <w:b/>
          <w:color w:val="auto"/>
          <w:sz w:val="28"/>
          <w:szCs w:val="28"/>
        </w:rPr>
        <w:t xml:space="preserve"> 开标、评标、定标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w:t>
      </w:r>
      <w:r>
        <w:rPr>
          <w:rFonts w:hint="eastAsia" w:eastAsia="仿宋_GB2312"/>
          <w:color w:val="auto"/>
          <w:sz w:val="28"/>
          <w:szCs w:val="28"/>
        </w:rPr>
        <w:t xml:space="preserve"> 投标人注意事项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12.1.1</w:t>
      </w:r>
      <w:r>
        <w:rPr>
          <w:rFonts w:hint="eastAsia" w:eastAsia="仿宋_GB2312"/>
          <w:color w:val="auto"/>
          <w:sz w:val="28"/>
          <w:szCs w:val="28"/>
        </w:rPr>
        <w:t xml:space="preserve"> 通过资格审查的投标人方可参加开标。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12.1.2</w:t>
      </w:r>
      <w:r>
        <w:rPr>
          <w:rFonts w:hint="eastAsia" w:eastAsia="仿宋_GB2312"/>
          <w:color w:val="auto"/>
          <w:sz w:val="28"/>
          <w:szCs w:val="28"/>
        </w:rPr>
        <w:t xml:space="preserve"> 参加本次投标的法定代表人或委托代理人必须参加投标活动的全过程。</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12.1.3</w:t>
      </w:r>
      <w:r>
        <w:rPr>
          <w:rFonts w:hint="eastAsia" w:eastAsia="仿宋_GB2312"/>
          <w:color w:val="auto"/>
          <w:sz w:val="28"/>
          <w:szCs w:val="28"/>
        </w:rPr>
        <w:t>参加投标的法定代表人或委托代理人必须提供按招标文件要求制作并密封的投标文件。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12.1.4</w:t>
      </w:r>
      <w:r>
        <w:rPr>
          <w:rFonts w:hint="eastAsia" w:eastAsia="仿宋_GB2312"/>
          <w:b/>
          <w:color w:val="auto"/>
          <w:sz w:val="28"/>
          <w:szCs w:val="28"/>
        </w:rPr>
        <w:t xml:space="preserve"> </w:t>
      </w:r>
      <w:r>
        <w:rPr>
          <w:rFonts w:hint="eastAsia" w:eastAsia="仿宋_GB2312"/>
          <w:color w:val="auto"/>
          <w:sz w:val="28"/>
          <w:szCs w:val="28"/>
        </w:rPr>
        <w:t>参加投标的法定代表人或委托代理人必须在投标时出示本人身份证件，交纳投标保证金。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12.1.5</w:t>
      </w:r>
      <w:r>
        <w:rPr>
          <w:rFonts w:hint="eastAsia" w:eastAsia="仿宋_GB2312"/>
          <w:color w:val="auto"/>
          <w:sz w:val="28"/>
          <w:szCs w:val="28"/>
        </w:rPr>
        <w:t xml:space="preserve"> 无特殊理由投标文件未按规定时间送达的将取消投标资格。</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w:t>
      </w:r>
      <w:r>
        <w:rPr>
          <w:rFonts w:hint="eastAsia" w:eastAsia="仿宋_GB2312"/>
          <w:color w:val="auto"/>
          <w:sz w:val="28"/>
          <w:szCs w:val="28"/>
        </w:rPr>
        <w:t xml:space="preserve"> 开标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12.2.1</w:t>
      </w:r>
      <w:r>
        <w:rPr>
          <w:rFonts w:hint="eastAsia" w:eastAsia="仿宋_GB2312"/>
          <w:color w:val="auto"/>
          <w:sz w:val="28"/>
          <w:szCs w:val="28"/>
        </w:rPr>
        <w:t xml:space="preserve"> 开标时间：</w:t>
      </w:r>
      <w:r>
        <w:rPr>
          <w:rFonts w:hint="eastAsia" w:eastAsia="仿宋_GB2312"/>
          <w:color w:val="auto"/>
          <w:sz w:val="28"/>
          <w:szCs w:val="28"/>
          <w:u w:val="single"/>
        </w:rPr>
        <w:t xml:space="preserve">  2016年</w:t>
      </w:r>
      <w:r>
        <w:rPr>
          <w:rFonts w:hint="eastAsia" w:eastAsia="仿宋_GB2312"/>
          <w:color w:val="auto"/>
          <w:sz w:val="28"/>
          <w:szCs w:val="28"/>
          <w:u w:val="single"/>
          <w:lang w:val="en-US" w:eastAsia="zh-CN"/>
        </w:rPr>
        <w:t>10</w:t>
      </w:r>
      <w:r>
        <w:rPr>
          <w:rFonts w:hint="eastAsia" w:eastAsia="仿宋_GB2312"/>
          <w:color w:val="auto"/>
          <w:sz w:val="28"/>
          <w:szCs w:val="28"/>
          <w:u w:val="single"/>
        </w:rPr>
        <w:t>月</w:t>
      </w:r>
      <w:r>
        <w:rPr>
          <w:rFonts w:hint="eastAsia" w:eastAsia="仿宋_GB2312"/>
          <w:color w:val="auto"/>
          <w:sz w:val="28"/>
          <w:szCs w:val="28"/>
          <w:u w:val="single"/>
          <w:lang w:val="en-US" w:eastAsia="zh-CN"/>
        </w:rPr>
        <w:t>10</w:t>
      </w:r>
      <w:r>
        <w:rPr>
          <w:rFonts w:hint="eastAsia" w:eastAsia="仿宋_GB2312"/>
          <w:color w:val="auto"/>
          <w:sz w:val="28"/>
          <w:szCs w:val="28"/>
          <w:u w:val="single"/>
        </w:rPr>
        <w:t xml:space="preserve">日 15:00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12.2.2</w:t>
      </w:r>
      <w:r>
        <w:rPr>
          <w:rFonts w:hint="eastAsia" w:eastAsia="仿宋_GB2312"/>
          <w:b/>
          <w:color w:val="auto"/>
          <w:sz w:val="28"/>
          <w:szCs w:val="28"/>
        </w:rPr>
        <w:t xml:space="preserve"> </w:t>
      </w:r>
      <w:r>
        <w:rPr>
          <w:rFonts w:hint="eastAsia" w:eastAsia="仿宋_GB2312"/>
          <w:color w:val="auto"/>
          <w:sz w:val="28"/>
          <w:szCs w:val="28"/>
        </w:rPr>
        <w:t>开标地点：</w:t>
      </w:r>
      <w:r>
        <w:rPr>
          <w:rFonts w:hint="eastAsia" w:eastAsia="仿宋_GB2312"/>
          <w:color w:val="auto"/>
          <w:sz w:val="28"/>
          <w:szCs w:val="28"/>
          <w:u w:val="single"/>
        </w:rPr>
        <w:t xml:space="preserve"> 江苏建筑职业技术学院行政楼4 层403 室   </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12.2.3</w:t>
      </w:r>
      <w:r>
        <w:rPr>
          <w:rFonts w:hint="eastAsia" w:ascii="Times New Roman" w:hAnsi="Times New Roman" w:eastAsia="仿宋_GB2312" w:cs="Times New Roman"/>
          <w:b/>
          <w:color w:val="auto"/>
          <w:sz w:val="28"/>
          <w:szCs w:val="28"/>
        </w:rPr>
        <w:t xml:space="preserve"> </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12.2.4</w:t>
      </w:r>
      <w:r>
        <w:rPr>
          <w:rFonts w:hint="eastAsia" w:ascii="Times New Roman" w:hAnsi="Times New Roman" w:eastAsia="仿宋_GB2312" w:cs="Times New Roman"/>
          <w:color w:val="auto"/>
          <w:sz w:val="28"/>
          <w:szCs w:val="28"/>
        </w:rPr>
        <w:t xml:space="preserve"> </w:t>
      </w:r>
      <w:r>
        <w:rPr>
          <w:rFonts w:hint="eastAsia" w:eastAsia="仿宋_GB2312"/>
          <w:color w:val="auto"/>
          <w:sz w:val="28"/>
          <w:szCs w:val="28"/>
        </w:rPr>
        <w:t>投标文件的审查</w:t>
      </w:r>
    </w:p>
    <w:p>
      <w:pPr>
        <w:spacing w:line="360" w:lineRule="auto"/>
        <w:jc w:val="left"/>
        <w:rPr>
          <w:rFonts w:eastAsia="仿宋_GB2312"/>
          <w:color w:val="auto"/>
          <w:sz w:val="28"/>
          <w:szCs w:val="28"/>
        </w:rPr>
      </w:pPr>
      <w:r>
        <w:rPr>
          <w:rFonts w:ascii="Times New Roman" w:hAnsi="Times New Roman" w:eastAsia="仿宋_GB2312" w:cs="Times New Roman"/>
          <w:b/>
          <w:color w:val="auto"/>
          <w:sz w:val="28"/>
          <w:szCs w:val="28"/>
        </w:rPr>
        <w:t>12.2.</w:t>
      </w:r>
      <w:r>
        <w:rPr>
          <w:rFonts w:hint="eastAsia" w:ascii="Times New Roman" w:hAnsi="Times New Roman" w:eastAsia="仿宋_GB2312" w:cs="Times New Roman"/>
          <w:b/>
          <w:color w:val="auto"/>
          <w:sz w:val="28"/>
          <w:szCs w:val="28"/>
        </w:rPr>
        <w:t>4</w:t>
      </w: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 xml:space="preserve"> </w:t>
      </w:r>
      <w:r>
        <w:rPr>
          <w:rFonts w:hint="eastAsia" w:eastAsia="仿宋_GB2312"/>
          <w:color w:val="auto"/>
          <w:sz w:val="28"/>
          <w:szCs w:val="28"/>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color w:val="auto"/>
          <w:sz w:val="28"/>
          <w:szCs w:val="28"/>
        </w:rPr>
      </w:pPr>
      <w:r>
        <w:rPr>
          <w:rFonts w:hint="eastAsia" w:eastAsia="仿宋_GB2312"/>
          <w:color w:val="auto"/>
          <w:sz w:val="28"/>
          <w:szCs w:val="28"/>
        </w:rPr>
        <w:t xml:space="preserve">    投标文件未按招标文件要求编制或提供资料不全的均将视为不符合要求。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w:t>
      </w:r>
      <w:r>
        <w:rPr>
          <w:rFonts w:hint="eastAsia" w:ascii="Times New Roman" w:hAnsi="Times New Roman" w:eastAsia="仿宋_GB2312" w:cs="Times New Roman"/>
          <w:b/>
          <w:color w:val="auto"/>
          <w:sz w:val="28"/>
          <w:szCs w:val="28"/>
        </w:rPr>
        <w:t>4</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本次招标所有报价的产品和服务其技术参数和承诺允许</w:t>
      </w:r>
      <w:r>
        <w:rPr>
          <w:rFonts w:hint="eastAsia" w:eastAsia="仿宋_GB2312"/>
          <w:color w:val="auto"/>
          <w:sz w:val="28"/>
          <w:szCs w:val="28"/>
          <w:u w:val="single"/>
        </w:rPr>
        <w:t xml:space="preserve"> 正偏离 </w:t>
      </w:r>
      <w:r>
        <w:rPr>
          <w:rFonts w:hint="eastAsia" w:eastAsia="仿宋_GB2312"/>
          <w:color w:val="auto"/>
          <w:sz w:val="28"/>
          <w:szCs w:val="28"/>
        </w:rPr>
        <w:t>，不允许</w:t>
      </w:r>
      <w:r>
        <w:rPr>
          <w:rFonts w:hint="eastAsia" w:eastAsia="仿宋_GB2312"/>
          <w:color w:val="auto"/>
          <w:sz w:val="28"/>
          <w:szCs w:val="28"/>
          <w:u w:val="single"/>
        </w:rPr>
        <w:t xml:space="preserve"> 负偏离 </w:t>
      </w:r>
      <w:r>
        <w:rPr>
          <w:rFonts w:hint="eastAsia"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w:t>
      </w:r>
      <w:r>
        <w:rPr>
          <w:rFonts w:hint="eastAsia" w:ascii="Times New Roman" w:hAnsi="Times New Roman" w:eastAsia="仿宋_GB2312" w:cs="Times New Roman"/>
          <w:b/>
          <w:color w:val="auto"/>
          <w:sz w:val="28"/>
          <w:szCs w:val="28"/>
        </w:rPr>
        <w:t>4</w:t>
      </w:r>
      <w:r>
        <w:rPr>
          <w:rFonts w:ascii="Times New Roman" w:hAnsi="Times New Roman" w:eastAsia="仿宋_GB2312" w:cs="Times New Roman"/>
          <w:b/>
          <w:color w:val="auto"/>
          <w:sz w:val="28"/>
          <w:szCs w:val="28"/>
        </w:rPr>
        <w:t>.3</w:t>
      </w:r>
      <w:r>
        <w:rPr>
          <w:rFonts w:hint="eastAsia" w:ascii="Times New Roman" w:hAnsi="Times New Roman" w:eastAsia="仿宋_GB2312" w:cs="Times New Roman"/>
          <w:b/>
          <w:color w:val="auto"/>
          <w:sz w:val="28"/>
          <w:szCs w:val="28"/>
        </w:rPr>
        <w:t xml:space="preserve"> </w:t>
      </w:r>
      <w:r>
        <w:rPr>
          <w:rFonts w:hint="eastAsia" w:eastAsia="仿宋_GB2312"/>
          <w:color w:val="auto"/>
          <w:sz w:val="28"/>
          <w:szCs w:val="28"/>
        </w:rPr>
        <w:t>招标人确定投标文件的响应性是基于投标文件本身，而不依靠外部的补充证据。</w:t>
      </w:r>
    </w:p>
    <w:p>
      <w:pPr>
        <w:spacing w:line="360" w:lineRule="auto"/>
        <w:ind w:firstLine="560" w:firstLineChars="200"/>
        <w:rPr>
          <w:rFonts w:eastAsia="仿宋_GB2312"/>
          <w:color w:val="auto"/>
          <w:sz w:val="28"/>
          <w:szCs w:val="28"/>
        </w:rPr>
      </w:pPr>
      <w:r>
        <w:rPr>
          <w:rFonts w:hint="eastAsia" w:eastAsia="仿宋_GB2312"/>
          <w:color w:val="auto"/>
          <w:sz w:val="28"/>
          <w:szCs w:val="28"/>
        </w:rPr>
        <w:t>招标人将拒绝被确定为非实质性响应的投标，投标人不能通过修正或撤销不符合之处而使其投标成为实质性响应的投标。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w:t>
      </w:r>
      <w:r>
        <w:rPr>
          <w:rFonts w:hint="eastAsia" w:eastAsia="仿宋_GB2312"/>
          <w:color w:val="auto"/>
          <w:sz w:val="28"/>
          <w:szCs w:val="28"/>
        </w:rPr>
        <w:t xml:space="preserve"> 评标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12.3.1</w:t>
      </w:r>
      <w:r>
        <w:rPr>
          <w:rFonts w:hint="eastAsia" w:eastAsia="仿宋_GB2312"/>
          <w:b/>
          <w:color w:val="auto"/>
          <w:sz w:val="28"/>
          <w:szCs w:val="28"/>
        </w:rPr>
        <w:t xml:space="preserve"> </w:t>
      </w:r>
      <w:r>
        <w:rPr>
          <w:rFonts w:hint="eastAsia" w:eastAsia="仿宋_GB2312"/>
          <w:color w:val="auto"/>
          <w:sz w:val="28"/>
          <w:szCs w:val="28"/>
        </w:rPr>
        <w:t>招标人将对通过投标文件审查且被确定为实质性响应的投标进行评议。</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12.3.2</w:t>
      </w:r>
      <w:r>
        <w:rPr>
          <w:rFonts w:hint="eastAsia" w:eastAsia="仿宋_GB2312"/>
          <w:color w:val="auto"/>
          <w:sz w:val="28"/>
          <w:szCs w:val="28"/>
        </w:rPr>
        <w:t xml:space="preserve"> 评标人员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w:t>
      </w:r>
      <w:r>
        <w:rPr>
          <w:rFonts w:hint="eastAsia" w:eastAsia="仿宋_GB2312"/>
          <w:color w:val="auto"/>
          <w:sz w:val="28"/>
          <w:szCs w:val="28"/>
          <w:u w:val="single"/>
        </w:rPr>
        <w:t xml:space="preserve"> 招标委员会  </w:t>
      </w:r>
      <w:r>
        <w:rPr>
          <w:rFonts w:hint="eastAsia" w:eastAsia="仿宋_GB2312"/>
          <w:color w:val="auto"/>
          <w:sz w:val="28"/>
          <w:szCs w:val="28"/>
        </w:rPr>
        <w:t>按规定确定评标委员会人员组成（除有明确规定必须参加者外，均从专家库中随机抽取）。</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12.3.3</w:t>
      </w:r>
      <w:r>
        <w:rPr>
          <w:rFonts w:hint="eastAsia" w:eastAsia="仿宋_GB2312"/>
          <w:color w:val="auto"/>
          <w:sz w:val="28"/>
          <w:szCs w:val="28"/>
        </w:rPr>
        <w:t xml:space="preserve"> 评标办法</w:t>
      </w:r>
    </w:p>
    <w:p>
      <w:pPr>
        <w:spacing w:line="360" w:lineRule="auto"/>
        <w:ind w:firstLine="560" w:firstLineChars="200"/>
        <w:rPr>
          <w:rFonts w:eastAsia="仿宋_GB2312"/>
          <w:color w:val="auto"/>
          <w:sz w:val="28"/>
          <w:szCs w:val="28"/>
        </w:rPr>
      </w:pPr>
      <w:r>
        <w:rPr>
          <w:rFonts w:hint="eastAsia" w:eastAsia="仿宋_GB2312"/>
          <w:color w:val="auto"/>
          <w:sz w:val="28"/>
          <w:szCs w:val="28"/>
        </w:rPr>
        <w:t>招标人将本着公开、公平、公正、诚实信用、科学择优的原则进行评标，在评标时将重点考虑投标价格/产品质量/供货期限/履行合同能力/企业信誉/质量保证/服务承诺等因素。具体评标办法由评委会在开标前讨论确定，并告知投标人。</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12.3.4</w:t>
      </w:r>
      <w:r>
        <w:rPr>
          <w:rFonts w:hint="eastAsia" w:eastAsia="仿宋_GB2312"/>
          <w:color w:val="auto"/>
          <w:sz w:val="28"/>
          <w:szCs w:val="28"/>
        </w:rPr>
        <w:t xml:space="preserve"> 投标文件的澄清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12.3.4.1</w:t>
      </w:r>
      <w:r>
        <w:rPr>
          <w:rFonts w:hint="eastAsia" w:eastAsia="仿宋_GB2312"/>
          <w:color w:val="auto"/>
          <w:sz w:val="28"/>
          <w:szCs w:val="28"/>
        </w:rPr>
        <w:t>为切实落实评标原则，招标人有权要求投标人以书面形式对其投标文件进行澄清。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12.3.4.2</w:t>
      </w:r>
      <w:r>
        <w:rPr>
          <w:rFonts w:hint="eastAsia" w:eastAsia="仿宋_GB2312"/>
          <w:color w:val="auto"/>
          <w:sz w:val="28"/>
          <w:szCs w:val="28"/>
        </w:rPr>
        <w:t xml:space="preserve"> 澄清的书面资料必须经其法定代表人或委托代理人签字后方为有效，与投标文件具有同等的法律效力。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12.3.5</w:t>
      </w:r>
      <w:r>
        <w:rPr>
          <w:rFonts w:hint="eastAsia" w:eastAsia="仿宋_GB2312"/>
          <w:b/>
          <w:color w:val="auto"/>
          <w:sz w:val="28"/>
          <w:szCs w:val="28"/>
        </w:rPr>
        <w:t xml:space="preserve"> </w:t>
      </w:r>
      <w:r>
        <w:rPr>
          <w:rFonts w:hint="eastAsia" w:eastAsia="仿宋_GB2312"/>
          <w:color w:val="auto"/>
          <w:sz w:val="28"/>
          <w:szCs w:val="28"/>
        </w:rPr>
        <w:t>评标小组按照评标办法对参加评标的投标进行评议后确定各投标人的排序，并当场公布。</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12.4</w:t>
      </w:r>
      <w:r>
        <w:rPr>
          <w:rFonts w:hint="eastAsia" w:eastAsia="仿宋_GB2312"/>
          <w:color w:val="auto"/>
          <w:sz w:val="28"/>
          <w:szCs w:val="28"/>
        </w:rPr>
        <w:t xml:space="preserve"> 定标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12.4.1</w:t>
      </w:r>
      <w:r>
        <w:rPr>
          <w:rFonts w:hint="eastAsia" w:eastAsia="仿宋_GB2312"/>
          <w:color w:val="auto"/>
          <w:sz w:val="28"/>
          <w:szCs w:val="28"/>
        </w:rPr>
        <w:t xml:space="preserve"> 招标人根据评标结果，选择履行合同能力强，报价对招标人有利（不一定为最低报价），能够提供最佳的服务，产品质量好、信誉好的投标人作为中标候选人，并当场公布。</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12.4.2</w:t>
      </w:r>
      <w:r>
        <w:rPr>
          <w:rFonts w:hint="eastAsia" w:eastAsia="仿宋_GB2312"/>
          <w:color w:val="auto"/>
          <w:sz w:val="28"/>
          <w:szCs w:val="28"/>
        </w:rPr>
        <w:t xml:space="preserve"> 中标公告将在评标结束后</w:t>
      </w:r>
      <w:r>
        <w:rPr>
          <w:rFonts w:ascii="Times New Roman" w:hAnsi="Times New Roman" w:eastAsia="仿宋_GB2312" w:cs="Times New Roman"/>
          <w:color w:val="auto"/>
          <w:sz w:val="28"/>
          <w:szCs w:val="28"/>
        </w:rPr>
        <w:t>2</w:t>
      </w:r>
      <w:r>
        <w:rPr>
          <w:rFonts w:hint="eastAsia" w:eastAsia="仿宋_GB2312"/>
          <w:color w:val="auto"/>
          <w:sz w:val="28"/>
          <w:szCs w:val="28"/>
        </w:rPr>
        <w:t>日内在投标人网站主页发布。</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ascii="宋体" w:hAnsi="宋体" w:eastAsia="仿宋_GB2312"/>
          <w:color w:val="auto"/>
          <w:sz w:val="28"/>
          <w:szCs w:val="28"/>
          <w:u w:val="single"/>
        </w:rPr>
        <w:t xml:space="preserve"> 招标工作委员会  </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评标后如当场宣布中标人，则不再另行通知；未当场宣布的，则中标公告发布的同时电话通知中标人。中标人应在中标公示期满后</w:t>
      </w:r>
      <w:r>
        <w:rPr>
          <w:rFonts w:ascii="Times New Roman" w:hAnsi="Times New Roman" w:eastAsia="仿宋_GB2312" w:cs="Times New Roman"/>
          <w:color w:val="auto"/>
          <w:sz w:val="28"/>
          <w:szCs w:val="28"/>
        </w:rPr>
        <w:t>2</w:t>
      </w:r>
      <w:r>
        <w:rPr>
          <w:rFonts w:hint="eastAsia" w:eastAsia="仿宋_GB2312"/>
          <w:color w:val="auto"/>
          <w:sz w:val="28"/>
          <w:szCs w:val="28"/>
        </w:rPr>
        <w:t xml:space="preserve">日内到招标人指定地点领取纸质中标通知书，并签订合同。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中标人应在规定时间内派员到招标人指定地点与招标人签订合同。签订合同时，中标人代表应出示法定代表人证书或授权委托书及本人身份证件，合同经双方法定代表人或其授权的代理人签署，加盖公章后生效。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分期付款，中标人送货到指定地点并完成安装调试，经</w:t>
      </w:r>
      <w:r>
        <w:rPr>
          <w:rFonts w:hint="eastAsia" w:eastAsia="仿宋_GB2312"/>
          <w:color w:val="auto"/>
          <w:sz w:val="28"/>
          <w:szCs w:val="28"/>
          <w:u w:val="single"/>
        </w:rPr>
        <w:t>学校组织相关部门</w:t>
      </w:r>
      <w:r>
        <w:rPr>
          <w:rFonts w:hint="eastAsia" w:eastAsia="仿宋_GB2312"/>
          <w:color w:val="auto"/>
          <w:sz w:val="28"/>
          <w:szCs w:val="28"/>
        </w:rPr>
        <w:t>验收合格后付至总价款的</w:t>
      </w:r>
      <w:r>
        <w:rPr>
          <w:rFonts w:hint="eastAsia" w:eastAsia="仿宋_GB2312"/>
          <w:color w:val="auto"/>
          <w:sz w:val="28"/>
          <w:szCs w:val="28"/>
          <w:u w:val="single"/>
        </w:rPr>
        <w:t xml:space="preserve"> 90 </w:t>
      </w:r>
      <w:r>
        <w:rPr>
          <w:rFonts w:hint="eastAsia" w:eastAsia="仿宋_GB2312"/>
          <w:color w:val="auto"/>
          <w:sz w:val="28"/>
          <w:szCs w:val="28"/>
        </w:rPr>
        <w:t>%，余</w:t>
      </w:r>
      <w:r>
        <w:rPr>
          <w:rFonts w:hint="eastAsia" w:eastAsia="仿宋_GB2312"/>
          <w:color w:val="auto"/>
          <w:sz w:val="28"/>
          <w:szCs w:val="28"/>
          <w:u w:val="single"/>
        </w:rPr>
        <w:t xml:space="preserve"> 10 </w:t>
      </w:r>
      <w:r>
        <w:rPr>
          <w:rFonts w:hint="eastAsia" w:eastAsia="仿宋_GB2312"/>
          <w:color w:val="auto"/>
          <w:sz w:val="28"/>
          <w:szCs w:val="28"/>
        </w:rPr>
        <w:t>%作质保金，质保期满（且未因质量问题对招标人造成影响）后，一次付清。</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b/>
          <w:color w:val="auto"/>
          <w:sz w:val="28"/>
          <w:szCs w:val="28"/>
        </w:rPr>
        <w:t xml:space="preserve"> </w:t>
      </w:r>
      <w:r>
        <w:rPr>
          <w:rFonts w:hint="eastAsia" w:eastAsia="仿宋_GB2312"/>
          <w:color w:val="auto"/>
          <w:sz w:val="28"/>
          <w:szCs w:val="28"/>
        </w:rPr>
        <w:t>交货期：</w:t>
      </w:r>
      <w:r>
        <w:rPr>
          <w:rFonts w:hint="eastAsia" w:eastAsia="仿宋_GB2312"/>
          <w:color w:val="auto"/>
          <w:sz w:val="28"/>
          <w:szCs w:val="28"/>
          <w:u w:val="single"/>
        </w:rPr>
        <w:t xml:space="preserve">  合同生效之日起60天内安装调试完毕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w:t>
      </w:r>
      <w:r>
        <w:rPr>
          <w:rFonts w:hint="eastAsia" w:eastAsia="仿宋_GB2312"/>
          <w:color w:val="auto"/>
          <w:sz w:val="28"/>
          <w:szCs w:val="28"/>
          <w:u w:val="single"/>
        </w:rPr>
        <w:t xml:space="preserve"> 江苏建筑职业技术学院内指定地点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交货期是从合同签订之日起至中标人将全部产品送达交货地点并安装调试完成止的这段时间。未经招标人许可，不得更改交货时间。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eastAsia="仿宋_GB2312"/>
          <w:color w:val="auto"/>
          <w:sz w:val="28"/>
          <w:szCs w:val="28"/>
        </w:rPr>
        <w:t>招标人有权对产品的制造过程进行监视和监督（简称监造），中标人应对此给予配合和支持，但监造人员不签署任何质量证明，招标人代表参加监造既不能解除中标人按合同规定承担的责任，也不替代到货后招标人对产品的检验。</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17.2</w:t>
      </w:r>
      <w:r>
        <w:rPr>
          <w:rFonts w:hint="eastAsia" w:eastAsia="仿宋_GB2312"/>
          <w:color w:val="auto"/>
          <w:sz w:val="28"/>
          <w:szCs w:val="28"/>
        </w:rPr>
        <w:t xml:space="preserve"> 招标人有权进行中间检验，但这并不因此减轻中标人所有应负的责任。</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hint="eastAsia" w:eastAsia="仿宋_GB2312"/>
          <w:color w:val="auto"/>
          <w:sz w:val="28"/>
          <w:szCs w:val="28"/>
        </w:rPr>
        <w:t xml:space="preserve"> </w:t>
      </w:r>
      <w:r>
        <w:rPr>
          <w:rFonts w:hint="eastAsia" w:ascii="宋体" w:hAnsi="宋体" w:eastAsia="仿宋_GB2312"/>
          <w:color w:val="auto"/>
          <w:sz w:val="28"/>
          <w:szCs w:val="28"/>
        </w:rPr>
        <w:t>中标人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17.4</w:t>
      </w:r>
      <w:r>
        <w:rPr>
          <w:rFonts w:hint="eastAsia" w:eastAsia="仿宋_GB2312"/>
          <w:color w:val="auto"/>
          <w:sz w:val="28"/>
          <w:szCs w:val="28"/>
        </w:rPr>
        <w:t xml:space="preserve"> </w:t>
      </w:r>
      <w:r>
        <w:rPr>
          <w:rFonts w:hint="eastAsia" w:ascii="宋体" w:hAnsi="宋体" w:eastAsia="仿宋_GB2312"/>
          <w:color w:val="auto"/>
          <w:sz w:val="28"/>
          <w:szCs w:val="28"/>
        </w:rPr>
        <w:t>中标人将产品运送到招标人指定的</w:t>
      </w:r>
      <w:r>
        <w:rPr>
          <w:rFonts w:hint="eastAsia" w:eastAsia="仿宋_GB2312"/>
          <w:color w:val="auto"/>
          <w:sz w:val="28"/>
          <w:szCs w:val="28"/>
        </w:rPr>
        <w:t>交货地点后，招标人和中标人共同进行开箱验收</w:t>
      </w:r>
      <w:r>
        <w:rPr>
          <w:rFonts w:hint="eastAsia" w:ascii="宋体" w:hAnsi="宋体" w:eastAsia="仿宋_GB2312"/>
          <w:color w:val="auto"/>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auto"/>
          <w:sz w:val="28"/>
          <w:szCs w:val="28"/>
        </w:rPr>
        <w:t>安装调试完毕，试运行正常</w:t>
      </w:r>
      <w:r>
        <w:rPr>
          <w:rFonts w:hint="eastAsia" w:ascii="宋体" w:hAnsi="宋体" w:eastAsia="仿宋_GB2312"/>
          <w:color w:val="auto"/>
          <w:sz w:val="28"/>
          <w:szCs w:val="28"/>
        </w:rPr>
        <w:t>后，招标人将按照相关规定（与投标人）组织验收。</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17.5</w:t>
      </w:r>
      <w:r>
        <w:rPr>
          <w:rFonts w:hint="eastAsia" w:eastAsia="仿宋_GB2312"/>
          <w:color w:val="auto"/>
          <w:sz w:val="28"/>
          <w:szCs w:val="28"/>
        </w:rPr>
        <w:t xml:space="preserve"> </w:t>
      </w:r>
      <w:r>
        <w:rPr>
          <w:rFonts w:hint="eastAsia" w:ascii="宋体" w:hAnsi="宋体" w:eastAsia="仿宋_GB2312"/>
          <w:color w:val="auto"/>
          <w:sz w:val="28"/>
          <w:szCs w:val="28"/>
        </w:rPr>
        <w:t>中标人应派技术专家到现场对产品的安装调试工作进行指导并对招标人安排的操作、维护人员及相关人员进行培训。</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17.6</w:t>
      </w:r>
      <w:r>
        <w:rPr>
          <w:rFonts w:hint="eastAsia" w:eastAsia="仿宋_GB2312"/>
          <w:b/>
          <w:color w:val="auto"/>
          <w:sz w:val="28"/>
          <w:szCs w:val="28"/>
        </w:rPr>
        <w:t xml:space="preserve"> </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18</w:t>
      </w:r>
      <w:r>
        <w:rPr>
          <w:rFonts w:hint="eastAsia" w:hAnsi="宋体" w:eastAsia="仿宋_GB2312"/>
          <w:b/>
          <w:color w:val="auto"/>
          <w:sz w:val="28"/>
          <w:szCs w:val="28"/>
        </w:rPr>
        <w:t xml:space="preserve"> </w:t>
      </w: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18.1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18.2</w:t>
      </w:r>
      <w:r>
        <w:rPr>
          <w:rFonts w:hint="eastAsia" w:eastAsia="仿宋_GB2312"/>
          <w:color w:val="auto"/>
          <w:sz w:val="28"/>
          <w:szCs w:val="28"/>
        </w:rPr>
        <w:t xml:space="preserve"> 投标人应按照附录</w:t>
      </w:r>
      <w:r>
        <w:rPr>
          <w:rFonts w:ascii="Times New Roman" w:hAnsi="Times New Roman" w:eastAsia="仿宋_GB2312" w:cs="Times New Roman"/>
          <w:color w:val="auto"/>
          <w:sz w:val="28"/>
          <w:szCs w:val="28"/>
        </w:rPr>
        <w:t>A</w:t>
      </w:r>
      <w:r>
        <w:rPr>
          <w:rFonts w:hint="eastAsia" w:eastAsia="仿宋_GB2312"/>
          <w:color w:val="auto"/>
          <w:sz w:val="28"/>
          <w:szCs w:val="28"/>
        </w:rPr>
        <w:t>的要求提供样品。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18.3</w:t>
      </w:r>
      <w:r>
        <w:rPr>
          <w:rFonts w:hint="eastAsia" w:eastAsia="仿宋_GB2312"/>
          <w:b/>
          <w:color w:val="auto"/>
          <w:sz w:val="28"/>
          <w:szCs w:val="28"/>
        </w:rPr>
        <w:t xml:space="preserve"> </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19</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业务咨询：</w:t>
      </w:r>
      <w:r>
        <w:rPr>
          <w:rFonts w:hint="eastAsia" w:ascii="宋体" w:hAnsi="宋体" w:eastAsia="仿宋_GB2312"/>
          <w:color w:val="auto"/>
          <w:sz w:val="28"/>
          <w:szCs w:val="28"/>
          <w:u w:val="single"/>
        </w:rPr>
        <w:t xml:space="preserve"> 赵老师 </w:t>
      </w:r>
      <w:r>
        <w:rPr>
          <w:rFonts w:hint="eastAsia" w:ascii="宋体" w:hAnsi="宋体" w:eastAsia="仿宋_GB2312"/>
          <w:color w:val="auto"/>
          <w:sz w:val="28"/>
          <w:szCs w:val="28"/>
        </w:rPr>
        <w:t xml:space="preserve">   联系电话：</w:t>
      </w:r>
      <w:r>
        <w:rPr>
          <w:rFonts w:hint="eastAsia" w:ascii="宋体" w:hAnsi="宋体" w:eastAsia="仿宋_GB2312"/>
          <w:color w:val="auto"/>
          <w:sz w:val="28"/>
          <w:szCs w:val="28"/>
          <w:u w:val="single"/>
        </w:rPr>
        <w:t xml:space="preserve"> 15852236978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监督电话： 0516--83996085</w:t>
      </w:r>
    </w:p>
    <w:p>
      <w:pPr>
        <w:spacing w:line="360" w:lineRule="auto"/>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5320" w:firstLineChars="1900"/>
        <w:rPr>
          <w:rFonts w:ascii="宋体" w:hAnsi="宋体" w:eastAsia="仿宋_GB2312"/>
          <w:color w:val="auto"/>
          <w:sz w:val="28"/>
          <w:szCs w:val="28"/>
        </w:rPr>
      </w:pPr>
      <w:r>
        <w:rPr>
          <w:rFonts w:hint="eastAsia" w:ascii="宋体" w:hAnsi="宋体" w:eastAsia="仿宋_GB2312"/>
          <w:color w:val="auto"/>
          <w:sz w:val="28"/>
          <w:szCs w:val="28"/>
        </w:rPr>
        <w:t>江苏建筑职业技术学院</w:t>
      </w:r>
      <w:r>
        <w:rPr>
          <w:rFonts w:ascii="宋体" w:hAnsi="宋体" w:eastAsia="仿宋_GB2312"/>
          <w:color w:val="auto"/>
          <w:sz w:val="28"/>
          <w:szCs w:val="28"/>
        </w:rPr>
        <w:t xml:space="preserve"> </w:t>
      </w:r>
    </w:p>
    <w:p>
      <w:pPr>
        <w:spacing w:line="360" w:lineRule="auto"/>
        <w:rPr>
          <w:rFonts w:ascii="宋体" w:hAnsi="宋体" w:eastAsia="仿宋_GB2312"/>
          <w:color w:val="auto"/>
          <w:sz w:val="28"/>
          <w:szCs w:val="28"/>
        </w:rPr>
      </w:pPr>
      <w:r>
        <w:rPr>
          <w:rFonts w:hint="eastAsia" w:ascii="宋体" w:hAnsi="宋体" w:eastAsia="仿宋_GB2312"/>
          <w:color w:val="auto"/>
          <w:sz w:val="28"/>
          <w:szCs w:val="28"/>
        </w:rPr>
        <w:t xml:space="preserve">                                       </w:t>
      </w:r>
      <w:r>
        <w:rPr>
          <w:rFonts w:hint="eastAsia" w:ascii="宋体" w:hAnsi="宋体" w:eastAsia="仿宋_GB2312"/>
          <w:color w:val="auto"/>
          <w:sz w:val="28"/>
          <w:szCs w:val="28"/>
          <w:u w:val="none"/>
        </w:rPr>
        <w:t xml:space="preserve">   2016年9月</w:t>
      </w:r>
      <w:r>
        <w:rPr>
          <w:rFonts w:hint="eastAsia" w:ascii="宋体" w:hAnsi="宋体" w:eastAsia="仿宋_GB2312"/>
          <w:color w:val="auto"/>
          <w:sz w:val="28"/>
          <w:szCs w:val="28"/>
          <w:u w:val="none"/>
          <w:lang w:val="en-US" w:eastAsia="zh-CN"/>
        </w:rPr>
        <w:t>19</w:t>
      </w:r>
      <w:r>
        <w:rPr>
          <w:rFonts w:hint="eastAsia" w:ascii="宋体" w:hAnsi="宋体" w:eastAsia="仿宋_GB2312"/>
          <w:color w:val="auto"/>
          <w:sz w:val="28"/>
          <w:szCs w:val="28"/>
          <w:u w:val="none"/>
        </w:rPr>
        <w:t>日</w:t>
      </w:r>
      <w:r>
        <w:rPr>
          <w:rFonts w:hint="eastAsia" w:ascii="宋体" w:hAnsi="宋体" w:eastAsia="仿宋_GB2312"/>
          <w:color w:val="auto"/>
          <w:sz w:val="28"/>
          <w:szCs w:val="28"/>
        </w:rPr>
        <w:t xml:space="preserve"> </w:t>
      </w:r>
    </w:p>
    <w:p>
      <w:pPr>
        <w:spacing w:line="360" w:lineRule="auto"/>
        <w:rPr>
          <w:rFonts w:eastAsia="仿宋_GB2312"/>
          <w:color w:val="auto"/>
          <w:sz w:val="28"/>
          <w:szCs w:val="28"/>
        </w:rPr>
      </w:pPr>
      <w:r>
        <w:rPr>
          <w:rFonts w:hint="eastAsia" w:ascii="宋体" w:hAnsi="宋体" w:eastAsia="仿宋_GB2312"/>
          <w:color w:val="auto"/>
          <w:sz w:val="28"/>
          <w:szCs w:val="28"/>
        </w:rPr>
        <w:t xml:space="preserve"> </w:t>
      </w:r>
    </w:p>
    <w:p>
      <w:pPr>
        <w:jc w:val="center"/>
        <w:rPr>
          <w:b/>
          <w:color w:val="auto"/>
          <w:sz w:val="48"/>
          <w:szCs w:val="48"/>
        </w:rPr>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pPr>
    </w:p>
    <w:p>
      <w:pPr>
        <w:tabs>
          <w:tab w:val="left" w:pos="990"/>
        </w:tabs>
        <w:rPr>
          <w:rFonts w:ascii="宋体" w:hAnsi="宋体"/>
          <w:color w:val="auto"/>
          <w:sz w:val="32"/>
          <w:szCs w:val="32"/>
        </w:rPr>
      </w:pPr>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tabs>
          <w:tab w:val="left" w:pos="990"/>
        </w:tabs>
        <w:jc w:val="center"/>
        <w:rPr>
          <w:rFonts w:ascii="宋体" w:hAnsi="宋体"/>
          <w:color w:val="auto"/>
          <w:sz w:val="32"/>
          <w:szCs w:val="32"/>
        </w:rPr>
      </w:pPr>
      <w:r>
        <w:rPr>
          <w:rFonts w:hint="eastAsia" w:ascii="宋体" w:hAnsi="宋体"/>
          <w:b/>
          <w:color w:val="auto"/>
          <w:sz w:val="32"/>
          <w:szCs w:val="32"/>
        </w:rPr>
        <w:t>招标内容及质量与技术要求</w:t>
      </w:r>
    </w:p>
    <w:p>
      <w:pPr>
        <w:tabs>
          <w:tab w:val="left" w:pos="990"/>
        </w:tabs>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语音室改造项目，是在原语音室已有能再利用的设备与设施基础上进行的改造项目，改造后，能够实现普通机房、多媒体教室、语音室三种功能共享，并可随时进行切换，每个房间72座，共3间，满足上课、考试要求。</w:t>
      </w:r>
    </w:p>
    <w:p>
      <w:pPr>
        <w:tabs>
          <w:tab w:val="left" w:pos="990"/>
        </w:tabs>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改造后的语音室能够完成以下主要功能：</w:t>
      </w:r>
    </w:p>
    <w:p>
      <w:pPr>
        <w:autoSpaceDE w:val="0"/>
        <w:autoSpaceDN w:val="0"/>
        <w:adjustRightInd w:val="0"/>
        <w:snapToGrid w:val="0"/>
        <w:spacing w:line="360" w:lineRule="auto"/>
        <w:ind w:left="420"/>
        <w:rPr>
          <w:rFonts w:ascii="宋体" w:hAnsi="宋体"/>
          <w:color w:val="auto"/>
          <w:szCs w:val="21"/>
        </w:rPr>
      </w:pPr>
      <w:r>
        <w:rPr>
          <w:rFonts w:hint="eastAsia" w:ascii="宋体" w:hAnsi="宋体"/>
          <w:color w:val="auto"/>
          <w:szCs w:val="21"/>
        </w:rPr>
        <w:t>1、配备先进的专业化教学平台，改变传统的“单向广播式教学”，实现“互动反馈式的双向教学”；</w:t>
      </w:r>
    </w:p>
    <w:p>
      <w:pPr>
        <w:autoSpaceDE w:val="0"/>
        <w:autoSpaceDN w:val="0"/>
        <w:adjustRightInd w:val="0"/>
        <w:snapToGrid w:val="0"/>
        <w:spacing w:line="360" w:lineRule="auto"/>
        <w:ind w:left="420"/>
        <w:rPr>
          <w:rFonts w:ascii="宋体" w:hAnsi="宋体"/>
          <w:color w:val="auto"/>
          <w:szCs w:val="21"/>
        </w:rPr>
      </w:pPr>
      <w:r>
        <w:rPr>
          <w:rFonts w:hint="eastAsia" w:ascii="宋体" w:hAnsi="宋体"/>
          <w:color w:val="auto"/>
          <w:szCs w:val="21"/>
        </w:rPr>
        <w:t>2、配备先进的互动教学平台，实现“以学生为主体，以教师为主导”的网络化教学模式；</w:t>
      </w:r>
    </w:p>
    <w:p>
      <w:pPr>
        <w:autoSpaceDE w:val="0"/>
        <w:autoSpaceDN w:val="0"/>
        <w:adjustRightInd w:val="0"/>
        <w:snapToGrid w:val="0"/>
        <w:spacing w:line="360" w:lineRule="auto"/>
        <w:ind w:left="420"/>
        <w:rPr>
          <w:rFonts w:ascii="宋体" w:hAnsi="宋体"/>
          <w:color w:val="auto"/>
          <w:szCs w:val="21"/>
        </w:rPr>
      </w:pPr>
      <w:r>
        <w:rPr>
          <w:rFonts w:hint="eastAsia" w:ascii="宋体" w:hAnsi="宋体"/>
          <w:color w:val="auto"/>
          <w:szCs w:val="21"/>
        </w:rPr>
        <w:t>3、配备先进的口语考试平台，满足网络化口语考试的需要。</w:t>
      </w:r>
    </w:p>
    <w:p>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主要功能模块有：</w:t>
      </w:r>
    </w:p>
    <w:p>
      <w:pPr>
        <w:adjustRightInd w:val="0"/>
        <w:snapToGrid w:val="0"/>
        <w:spacing w:line="360" w:lineRule="auto"/>
        <w:ind w:left="422"/>
        <w:rPr>
          <w:rFonts w:ascii="宋体" w:hAnsi="宋体"/>
          <w:b/>
          <w:color w:val="auto"/>
          <w:szCs w:val="21"/>
        </w:rPr>
      </w:pPr>
      <w:r>
        <w:rPr>
          <w:rFonts w:hint="eastAsia" w:ascii="宋体" w:hAnsi="宋体"/>
          <w:b/>
          <w:color w:val="auto"/>
          <w:szCs w:val="21"/>
        </w:rPr>
        <w:t>1、专业化听力教学平台：</w:t>
      </w:r>
      <w:r>
        <w:rPr>
          <w:rFonts w:hint="eastAsia" w:ascii="宋体" w:hAnsi="宋体"/>
          <w:color w:val="auto"/>
          <w:szCs w:val="21"/>
        </w:rPr>
        <w:t>具有复听训练及诊断系统、听写训练及评估系统、听力选择及分析系统等专业化教学系统。</w:t>
      </w:r>
    </w:p>
    <w:p>
      <w:pPr>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⑴</w:t>
      </w:r>
      <w:r>
        <w:rPr>
          <w:rFonts w:hint="eastAsia" w:ascii="宋体" w:hAnsi="宋体"/>
          <w:b/>
          <w:color w:val="auto"/>
          <w:szCs w:val="21"/>
        </w:rPr>
        <w:t>★复听训练及诊断系统：</w:t>
      </w:r>
      <w:r>
        <w:rPr>
          <w:rFonts w:hint="eastAsia" w:ascii="宋体" w:hAnsi="宋体"/>
          <w:color w:val="auto"/>
          <w:szCs w:val="21"/>
        </w:rPr>
        <w:t>教师广播听力资料，全班学生可各自复听。复听过程中，教师可根据进度条实时跟踪；复听结束后，系统自动诊断复听结果，并以图表形式反馈，教师可据此直接对难点句子进行讲解。</w:t>
      </w:r>
    </w:p>
    <w:p>
      <w:pPr>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⑵</w:t>
      </w:r>
      <w:r>
        <w:rPr>
          <w:rFonts w:hint="eastAsia" w:ascii="宋体" w:hAnsi="宋体"/>
          <w:b/>
          <w:color w:val="auto"/>
          <w:szCs w:val="21"/>
        </w:rPr>
        <w:t>★听写训练及评估系统</w:t>
      </w:r>
      <w:r>
        <w:rPr>
          <w:rFonts w:hint="eastAsia" w:ascii="宋体" w:hAnsi="宋体"/>
          <w:color w:val="auto"/>
          <w:szCs w:val="21"/>
        </w:rPr>
        <w:t>：教师选取资源库、自带资料或互联网资料，系统可按难度级别自动提取关键词为听写内容，教师也可手动选取听写内容；由计算机控制完成听写全过程，系统自动评估学生听写结果，并以图表的形式反馈给教师，教师可据此进行讲评。</w:t>
      </w:r>
    </w:p>
    <w:p>
      <w:pPr>
        <w:adjustRightInd w:val="0"/>
        <w:snapToGrid w:val="0"/>
        <w:spacing w:line="360" w:lineRule="auto"/>
        <w:ind w:left="422"/>
        <w:rPr>
          <w:rFonts w:ascii="宋体" w:hAnsi="宋体"/>
          <w:color w:val="auto"/>
          <w:szCs w:val="21"/>
        </w:rPr>
      </w:pPr>
      <w:r>
        <w:rPr>
          <w:rFonts w:hint="eastAsia" w:ascii="宋体" w:hAnsi="宋体" w:eastAsia="宋体"/>
          <w:b/>
          <w:color w:val="auto"/>
          <w:szCs w:val="21"/>
        </w:rPr>
        <w:t>⑶</w:t>
      </w:r>
      <w:r>
        <w:rPr>
          <w:rFonts w:hint="eastAsia" w:ascii="宋体" w:hAnsi="宋体"/>
          <w:b/>
          <w:color w:val="auto"/>
          <w:szCs w:val="21"/>
        </w:rPr>
        <w:t>★听力选择及分析系统：</w:t>
      </w:r>
      <w:r>
        <w:rPr>
          <w:rFonts w:hint="eastAsia" w:ascii="宋体" w:hAnsi="宋体"/>
          <w:color w:val="auto"/>
          <w:szCs w:val="21"/>
        </w:rPr>
        <w:t>教师从听力测试库中按条件选取测试题目，或自己组织测试题目，由计算机控制完成测试过程，系统自动评估学生听力选择结果，并按照测试成绩、测试题目进行分析，以图表形式反馈给教师，教师可根据分析结果进行讲解。</w:t>
      </w:r>
    </w:p>
    <w:p>
      <w:pPr>
        <w:pStyle w:val="12"/>
        <w:adjustRightInd w:val="0"/>
        <w:snapToGrid w:val="0"/>
        <w:spacing w:line="360" w:lineRule="auto"/>
        <w:ind w:left="422" w:firstLine="0" w:firstLineChars="0"/>
        <w:rPr>
          <w:rFonts w:ascii="宋体" w:hAnsi="宋体"/>
          <w:b/>
          <w:color w:val="auto"/>
          <w:szCs w:val="21"/>
        </w:rPr>
      </w:pPr>
      <w:r>
        <w:rPr>
          <w:rFonts w:hint="eastAsia" w:ascii="宋体" w:hAnsi="宋体"/>
          <w:b/>
          <w:color w:val="auto"/>
          <w:szCs w:val="21"/>
        </w:rPr>
        <w:t>2、专业化口语教学平台：</w:t>
      </w:r>
      <w:r>
        <w:rPr>
          <w:rFonts w:hint="eastAsia" w:ascii="宋体" w:hAnsi="宋体"/>
          <w:color w:val="auto"/>
          <w:szCs w:val="21"/>
        </w:rPr>
        <w:t>具有计算机自动领读系统、跟读/朗读等口语自动评估系统、小组讨论系统等专业化教学系统。</w:t>
      </w:r>
    </w:p>
    <w:p>
      <w:pPr>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⑴</w:t>
      </w:r>
      <w:r>
        <w:rPr>
          <w:rFonts w:hint="eastAsia" w:ascii="宋体" w:hAnsi="宋体"/>
          <w:b/>
          <w:color w:val="auto"/>
          <w:szCs w:val="21"/>
        </w:rPr>
        <w:t>★自动领读系统：</w:t>
      </w:r>
      <w:r>
        <w:rPr>
          <w:rFonts w:hint="eastAsia" w:ascii="宋体" w:hAnsi="宋体"/>
          <w:color w:val="auto"/>
          <w:szCs w:val="21"/>
        </w:rPr>
        <w:t>教师组织口语教学资料，播放给学生，学生可按句跟读，系统自动评估每句跟读的好坏，合格的继续下一句的跟读，不合格的重读；训练过程中教师可以跟踪过程和每位学生的完成进度，训练结束后系统自动统计出学生的跟读成绩和跟读内容的完成情况，教师可据此讲评。</w:t>
      </w:r>
    </w:p>
    <w:p>
      <w:pPr>
        <w:adjustRightInd w:val="0"/>
        <w:snapToGrid w:val="0"/>
        <w:spacing w:line="360" w:lineRule="auto"/>
        <w:ind w:left="422"/>
        <w:rPr>
          <w:rFonts w:ascii="宋体" w:hAnsi="宋体"/>
          <w:b/>
          <w:color w:val="auto"/>
          <w:szCs w:val="21"/>
        </w:rPr>
      </w:pPr>
      <w:r>
        <w:rPr>
          <w:rFonts w:hint="eastAsia" w:ascii="宋体" w:hAnsi="宋体" w:eastAsia="宋体"/>
          <w:b/>
          <w:color w:val="auto"/>
          <w:szCs w:val="21"/>
        </w:rPr>
        <w:t>⑵</w:t>
      </w:r>
      <w:r>
        <w:rPr>
          <w:rFonts w:hint="eastAsia" w:ascii="宋体" w:hAnsi="宋体"/>
          <w:b/>
          <w:color w:val="auto"/>
          <w:szCs w:val="21"/>
        </w:rPr>
        <w:t>★跟读系统：</w:t>
      </w:r>
      <w:r>
        <w:rPr>
          <w:rFonts w:hint="eastAsia" w:ascii="宋体" w:hAnsi="宋体"/>
          <w:color w:val="auto"/>
          <w:szCs w:val="21"/>
        </w:rPr>
        <w:t>教师组织口语教学资料，逐句播放给学生进行跟读，系统自动评估每句跟读的好坏，训练过程中教师可控制播放进度和操作。系统实时统计学生的跟读成绩并以图表形式反馈给教师，包含成绩各层次的人数和比例等情况，教师可据此讲评。</w:t>
      </w:r>
    </w:p>
    <w:p>
      <w:pPr>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⑶</w:t>
      </w:r>
      <w:r>
        <w:rPr>
          <w:rFonts w:hint="eastAsia" w:ascii="宋体" w:hAnsi="宋体"/>
          <w:b/>
          <w:color w:val="auto"/>
          <w:szCs w:val="21"/>
        </w:rPr>
        <w:t>朗读系统：</w:t>
      </w:r>
      <w:r>
        <w:rPr>
          <w:rFonts w:hint="eastAsia" w:ascii="宋体" w:hAnsi="宋体"/>
          <w:color w:val="auto"/>
          <w:szCs w:val="21"/>
        </w:rPr>
        <w:t>教师选取资源，播放给学生，全班学生同时进行朗读的教学过程；实现自听录音、学生间互听录音的学习流程；朗读训练后教师可任意选择学生录音，进行示范或讲评。</w:t>
      </w:r>
    </w:p>
    <w:p>
      <w:pPr>
        <w:adjustRightInd w:val="0"/>
        <w:snapToGrid w:val="0"/>
        <w:spacing w:line="360" w:lineRule="auto"/>
        <w:ind w:left="422"/>
        <w:rPr>
          <w:rFonts w:ascii="宋体" w:hAnsi="宋体"/>
          <w:color w:val="auto"/>
          <w:szCs w:val="21"/>
        </w:rPr>
      </w:pPr>
      <w:r>
        <w:rPr>
          <w:rFonts w:hint="eastAsia" w:ascii="宋体" w:hAnsi="宋体" w:eastAsia="宋体"/>
          <w:b/>
          <w:color w:val="auto"/>
          <w:szCs w:val="21"/>
        </w:rPr>
        <w:t>⑷</w:t>
      </w:r>
      <w:r>
        <w:rPr>
          <w:rFonts w:hint="eastAsia" w:ascii="宋体" w:hAnsi="宋体"/>
          <w:b/>
          <w:color w:val="auto"/>
          <w:szCs w:val="21"/>
        </w:rPr>
        <w:t>小组讨论系统：</w:t>
      </w:r>
      <w:r>
        <w:rPr>
          <w:rFonts w:hint="eastAsia" w:ascii="宋体" w:hAnsi="宋体"/>
          <w:color w:val="auto"/>
          <w:szCs w:val="21"/>
        </w:rPr>
        <w:t>教师可设定讨论主题，学生进行2-6人小组讨论（全通）；小组讨论结束后，可让各小组自听讨论录音，也可让小组间互听讨论录音，教师可任意选择讨论录音，进行示范或讲评。</w:t>
      </w:r>
    </w:p>
    <w:p>
      <w:pPr>
        <w:adjustRightInd w:val="0"/>
        <w:snapToGrid w:val="0"/>
        <w:spacing w:line="360" w:lineRule="auto"/>
        <w:ind w:left="422"/>
        <w:rPr>
          <w:rFonts w:ascii="宋体" w:hAnsi="宋体"/>
          <w:b/>
          <w:color w:val="auto"/>
          <w:szCs w:val="21"/>
        </w:rPr>
      </w:pPr>
      <w:r>
        <w:rPr>
          <w:rFonts w:hint="eastAsia" w:ascii="宋体" w:hAnsi="宋体"/>
          <w:b/>
          <w:color w:val="auto"/>
          <w:szCs w:val="21"/>
        </w:rPr>
        <w:t>3、专业化阅读教学平台：</w:t>
      </w:r>
      <w:r>
        <w:rPr>
          <w:rFonts w:hint="eastAsia" w:ascii="宋体" w:hAnsi="宋体"/>
          <w:color w:val="auto"/>
          <w:szCs w:val="21"/>
        </w:rPr>
        <w:t>具有关键词解释的阅读讲解系统、阅读测试及分析系统等专业化教学系统。教师可从题库中按试题难度、知识点等条件抽取试题，或自编试题，由计算机控制完成测试过程，测试结果系统自动评估与分析，并以图表形式立即反馈，教师可据此进行讲解。</w:t>
      </w:r>
    </w:p>
    <w:p>
      <w:pPr>
        <w:adjustRightInd w:val="0"/>
        <w:snapToGrid w:val="0"/>
        <w:spacing w:line="360" w:lineRule="auto"/>
        <w:ind w:left="422"/>
        <w:rPr>
          <w:rFonts w:ascii="宋体" w:hAnsi="宋体"/>
          <w:b/>
          <w:color w:val="auto"/>
          <w:szCs w:val="21"/>
        </w:rPr>
      </w:pPr>
      <w:r>
        <w:rPr>
          <w:rFonts w:hint="eastAsia" w:ascii="宋体" w:hAnsi="宋体"/>
          <w:b/>
          <w:color w:val="auto"/>
          <w:szCs w:val="21"/>
        </w:rPr>
        <w:t>4、专业化口译教学平台：</w:t>
      </w:r>
      <w:r>
        <w:rPr>
          <w:rFonts w:hint="eastAsia" w:ascii="宋体" w:hAnsi="宋体"/>
          <w:color w:val="auto"/>
          <w:szCs w:val="21"/>
        </w:rPr>
        <w:t>具备影子训练、短期记忆等专业化教学系统，同时配套与专业外语院校合作开发的翻译资源库，满足口译教学的专业化教学要求（出具与专业外语类院校的合作协议）。</w:t>
      </w:r>
    </w:p>
    <w:p>
      <w:pPr>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⑴</w:t>
      </w:r>
      <w:r>
        <w:rPr>
          <w:rFonts w:hint="eastAsia" w:ascii="宋体" w:hAnsi="宋体"/>
          <w:b/>
          <w:color w:val="auto"/>
          <w:szCs w:val="21"/>
        </w:rPr>
        <w:t>影子训练系统：</w:t>
      </w:r>
      <w:r>
        <w:rPr>
          <w:rFonts w:hint="eastAsia" w:ascii="宋体" w:hAnsi="宋体"/>
          <w:color w:val="auto"/>
          <w:szCs w:val="21"/>
        </w:rPr>
        <w:t>教师可选择个人资料库或从专业的翻译资源库中组织口译教学资料，播放给学生，利用排列好的流程化工具条逐个点击完成影子训练的教学过程，如：播放并跟读、跟读回放、源音回放等；教学过程中可添加多种干扰音。训练结束后教师可根据各学生录音进行针对性讲评。</w:t>
      </w:r>
    </w:p>
    <w:p>
      <w:pPr>
        <w:adjustRightInd w:val="0"/>
        <w:snapToGrid w:val="0"/>
        <w:spacing w:line="360" w:lineRule="auto"/>
        <w:ind w:left="422"/>
        <w:rPr>
          <w:rFonts w:ascii="宋体" w:hAnsi="宋体"/>
          <w:b/>
          <w:color w:val="auto"/>
          <w:szCs w:val="21"/>
        </w:rPr>
      </w:pPr>
      <w:r>
        <w:rPr>
          <w:rFonts w:hint="eastAsia" w:asciiTheme="minorEastAsia" w:hAnsiTheme="minorEastAsia"/>
          <w:b/>
          <w:color w:val="auto"/>
          <w:szCs w:val="21"/>
        </w:rPr>
        <w:t>⑵</w:t>
      </w:r>
      <w:r>
        <w:rPr>
          <w:rFonts w:hint="eastAsia" w:ascii="宋体" w:hAnsi="宋体"/>
          <w:b/>
          <w:color w:val="auto"/>
          <w:szCs w:val="21"/>
        </w:rPr>
        <w:t>短期记忆系统：</w:t>
      </w:r>
      <w:r>
        <w:rPr>
          <w:rFonts w:hint="eastAsia" w:ascii="宋体" w:hAnsi="宋体"/>
          <w:color w:val="auto"/>
          <w:szCs w:val="21"/>
        </w:rPr>
        <w:t>教师可选择个人资料库或从专业的翻译资源库中组织口译教学资料，播放给学生，利用排列好的流程化工具条逐个点击完成短期记忆的教学过程，如：暂停并复述、复述回放、源音回放等；教学过程中可添加多种干扰音。训练结束后教师可根据各学生录音进行针对性讲评。</w:t>
      </w:r>
    </w:p>
    <w:p>
      <w:pPr>
        <w:adjustRightInd w:val="0"/>
        <w:snapToGrid w:val="0"/>
        <w:spacing w:line="360" w:lineRule="auto"/>
        <w:ind w:left="422"/>
        <w:rPr>
          <w:rFonts w:ascii="宋体" w:hAnsi="宋体"/>
          <w:b/>
          <w:color w:val="auto"/>
          <w:szCs w:val="21"/>
        </w:rPr>
      </w:pPr>
      <w:r>
        <w:rPr>
          <w:rFonts w:hint="eastAsia" w:ascii="宋体" w:hAnsi="宋体"/>
          <w:b/>
          <w:color w:val="auto"/>
          <w:szCs w:val="21"/>
        </w:rPr>
        <w:t>5、★协作式互动教学平台：</w:t>
      </w:r>
      <w:r>
        <w:rPr>
          <w:rFonts w:hint="eastAsia" w:ascii="宋体" w:hAnsi="宋体"/>
          <w:color w:val="auto"/>
          <w:szCs w:val="21"/>
        </w:rPr>
        <w:t>具有讨论写作、配音练习、协作翻译等专业化教学系统。教师组织学习内容、设定协作模式；学习过程中，各班内成员间实现声音全通、屏幕广播与共享、文字交流；学习结束后，各班学习结果可进行学生互评，最终教师可针对性讲评。</w:t>
      </w:r>
    </w:p>
    <w:p>
      <w:pPr>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⑴</w:t>
      </w:r>
      <w:r>
        <w:rPr>
          <w:rFonts w:hint="eastAsia" w:ascii="宋体" w:hAnsi="宋体"/>
          <w:b/>
          <w:color w:val="auto"/>
          <w:szCs w:val="21"/>
        </w:rPr>
        <w:t>内容选择：</w:t>
      </w:r>
      <w:r>
        <w:rPr>
          <w:rFonts w:hint="eastAsia" w:ascii="宋体" w:hAnsi="宋体"/>
          <w:color w:val="auto"/>
          <w:szCs w:val="21"/>
        </w:rPr>
        <w:t>教师可从大学教材库、试题库、本地电脑等来源选择不同的资料，设定成不同班级的学习内容。</w:t>
      </w:r>
    </w:p>
    <w:p>
      <w:pPr>
        <w:adjustRightInd w:val="0"/>
        <w:snapToGrid w:val="0"/>
        <w:spacing w:line="360" w:lineRule="auto"/>
        <w:ind w:left="422"/>
        <w:rPr>
          <w:rFonts w:ascii="宋体" w:hAnsi="宋体"/>
          <w:color w:val="auto"/>
          <w:szCs w:val="21"/>
        </w:rPr>
      </w:pPr>
      <w:r>
        <w:rPr>
          <w:rFonts w:hint="eastAsia" w:ascii="宋体" w:hAnsi="宋体" w:eastAsia="宋体"/>
          <w:b/>
          <w:color w:val="auto"/>
          <w:szCs w:val="21"/>
        </w:rPr>
        <w:t>⑵</w:t>
      </w:r>
      <w:r>
        <w:rPr>
          <w:rFonts w:hint="eastAsia" w:ascii="宋体" w:hAnsi="宋体"/>
          <w:b/>
          <w:color w:val="auto"/>
          <w:szCs w:val="21"/>
        </w:rPr>
        <w:t>小班设置：</w:t>
      </w:r>
      <w:r>
        <w:rPr>
          <w:rFonts w:hint="eastAsia" w:ascii="宋体" w:hAnsi="宋体"/>
          <w:color w:val="auto"/>
          <w:szCs w:val="21"/>
        </w:rPr>
        <w:t>教师设定训练模式，包含讨论总结、协作翻译、配音练习等训练模式，并将不同的学习内容分配给不同的班级。为保证学习效果，教师须能设定学生学习过程中的资源使用权限。即学生只能学习教师所选的教学资料，或者允许学生调用资料库资料学习，或者可以上网搜索资料。</w:t>
      </w:r>
    </w:p>
    <w:p>
      <w:pPr>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⑶</w:t>
      </w:r>
      <w:r>
        <w:rPr>
          <w:rFonts w:hint="eastAsia" w:ascii="宋体" w:hAnsi="宋体"/>
          <w:b/>
          <w:color w:val="auto"/>
          <w:szCs w:val="21"/>
        </w:rPr>
        <w:t>小班巡视：</w:t>
      </w:r>
      <w:r>
        <w:rPr>
          <w:rFonts w:hint="eastAsia" w:ascii="宋体" w:hAnsi="宋体"/>
          <w:color w:val="auto"/>
          <w:szCs w:val="21"/>
        </w:rPr>
        <w:t>小班学习中，教师能够对各班学习情况进行监视，并能随意选择班级进行参与，加入该班进行沟通交流。学习过程中，各班内成员间实现声音全通、屏幕广播与共享、文字交流。</w:t>
      </w:r>
    </w:p>
    <w:p>
      <w:pPr>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⑷</w:t>
      </w:r>
      <w:r>
        <w:rPr>
          <w:rFonts w:hint="eastAsia" w:ascii="宋体" w:hAnsi="宋体"/>
          <w:b/>
          <w:color w:val="auto"/>
          <w:szCs w:val="21"/>
        </w:rPr>
        <w:t>交流互评：</w:t>
      </w:r>
      <w:r>
        <w:rPr>
          <w:rFonts w:hint="eastAsia" w:ascii="宋体" w:hAnsi="宋体"/>
          <w:color w:val="auto"/>
          <w:szCs w:val="21"/>
        </w:rPr>
        <w:t>学习完成后，不同小班之间可以进行交流评价，分别查看其他班级的学习状况和学习情况总结后，给出相应的评价。</w:t>
      </w:r>
    </w:p>
    <w:p>
      <w:pPr>
        <w:adjustRightInd w:val="0"/>
        <w:snapToGrid w:val="0"/>
        <w:spacing w:line="360" w:lineRule="auto"/>
        <w:ind w:left="422"/>
        <w:rPr>
          <w:rFonts w:ascii="宋体" w:hAnsi="宋体"/>
          <w:color w:val="auto"/>
          <w:szCs w:val="21"/>
        </w:rPr>
      </w:pPr>
      <w:r>
        <w:rPr>
          <w:rFonts w:hint="eastAsia" w:ascii="宋体" w:hAnsi="宋体" w:eastAsia="宋体"/>
          <w:b/>
          <w:color w:val="auto"/>
          <w:szCs w:val="21"/>
        </w:rPr>
        <w:t>⑸</w:t>
      </w:r>
      <w:r>
        <w:rPr>
          <w:rFonts w:hint="eastAsia" w:ascii="宋体" w:hAnsi="宋体"/>
          <w:b/>
          <w:color w:val="auto"/>
          <w:szCs w:val="21"/>
        </w:rPr>
        <w:t>教师讲评：</w:t>
      </w:r>
      <w:r>
        <w:rPr>
          <w:rFonts w:hint="eastAsia" w:ascii="宋体" w:hAnsi="宋体"/>
          <w:color w:val="auto"/>
          <w:szCs w:val="21"/>
        </w:rPr>
        <w:t>交流互评结束后，教师对各班的学习情况进行讲评并能给出评语并保存学习内容。</w:t>
      </w:r>
    </w:p>
    <w:p>
      <w:pPr>
        <w:adjustRightInd w:val="0"/>
        <w:snapToGrid w:val="0"/>
        <w:spacing w:line="360" w:lineRule="auto"/>
        <w:ind w:left="422"/>
        <w:rPr>
          <w:rFonts w:ascii="宋体" w:hAnsi="宋体"/>
          <w:b/>
          <w:color w:val="auto"/>
          <w:szCs w:val="21"/>
        </w:rPr>
      </w:pPr>
      <w:r>
        <w:rPr>
          <w:rFonts w:hint="eastAsia" w:ascii="宋体" w:hAnsi="宋体"/>
          <w:b/>
          <w:color w:val="auto"/>
          <w:szCs w:val="21"/>
        </w:rPr>
        <w:t>6、自学辅导教学平台：</w:t>
      </w:r>
      <w:r>
        <w:rPr>
          <w:rFonts w:hint="eastAsia" w:ascii="宋体" w:hAnsi="宋体"/>
          <w:color w:val="auto"/>
          <w:szCs w:val="21"/>
        </w:rPr>
        <w:t>具有自学方式设置、自动跟踪、评估讲评等系统。</w:t>
      </w:r>
    </w:p>
    <w:p>
      <w:pPr>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⑴</w:t>
      </w:r>
      <w:r>
        <w:rPr>
          <w:rFonts w:hint="eastAsia" w:ascii="宋体" w:hAnsi="宋体"/>
          <w:b/>
          <w:color w:val="auto"/>
          <w:szCs w:val="21"/>
        </w:rPr>
        <w:t>自学方式设置系统：</w:t>
      </w:r>
      <w:r>
        <w:rPr>
          <w:rFonts w:hint="eastAsia" w:ascii="宋体" w:hAnsi="宋体"/>
          <w:color w:val="auto"/>
          <w:szCs w:val="21"/>
        </w:rPr>
        <w:t>教师设定浏览点播资料、技能训练资料、测试资料等自学内容和方式。</w:t>
      </w:r>
    </w:p>
    <w:p>
      <w:pPr>
        <w:adjustRightInd w:val="0"/>
        <w:snapToGrid w:val="0"/>
        <w:spacing w:line="360" w:lineRule="auto"/>
        <w:ind w:left="422"/>
        <w:rPr>
          <w:rFonts w:ascii="宋体" w:hAnsi="宋体"/>
          <w:color w:val="auto"/>
          <w:szCs w:val="21"/>
        </w:rPr>
      </w:pPr>
      <w:r>
        <w:rPr>
          <w:rFonts w:hint="eastAsia" w:ascii="宋体" w:hAnsi="宋体" w:eastAsia="宋体"/>
          <w:b/>
          <w:color w:val="auto"/>
          <w:szCs w:val="21"/>
        </w:rPr>
        <w:t>⑵</w:t>
      </w:r>
      <w:r>
        <w:rPr>
          <w:rFonts w:hint="eastAsia" w:ascii="宋体" w:hAnsi="宋体"/>
          <w:b/>
          <w:color w:val="auto"/>
          <w:szCs w:val="21"/>
        </w:rPr>
        <w:t>跟踪辅导系统：</w:t>
      </w:r>
      <w:r>
        <w:rPr>
          <w:rFonts w:hint="eastAsia" w:ascii="宋体" w:hAnsi="宋体"/>
          <w:color w:val="auto"/>
          <w:szCs w:val="21"/>
        </w:rPr>
        <w:t>学生自学过程中，教师可实时跟踪其完成率、得分及学习内容等，并进行有针对性辅导。</w:t>
      </w:r>
    </w:p>
    <w:p>
      <w:pPr>
        <w:adjustRightInd w:val="0"/>
        <w:snapToGrid w:val="0"/>
        <w:spacing w:line="360" w:lineRule="auto"/>
        <w:ind w:left="422"/>
        <w:rPr>
          <w:rFonts w:ascii="宋体" w:hAnsi="宋体"/>
          <w:color w:val="auto"/>
          <w:szCs w:val="21"/>
        </w:rPr>
      </w:pPr>
      <w:r>
        <w:rPr>
          <w:rFonts w:hint="eastAsia" w:ascii="宋体" w:hAnsi="宋体" w:eastAsia="宋体"/>
          <w:b/>
          <w:color w:val="auto"/>
          <w:szCs w:val="21"/>
        </w:rPr>
        <w:t>⑶</w:t>
      </w:r>
      <w:r>
        <w:rPr>
          <w:rFonts w:hint="eastAsia" w:ascii="宋体" w:hAnsi="宋体"/>
          <w:b/>
          <w:color w:val="auto"/>
          <w:szCs w:val="21"/>
        </w:rPr>
        <w:t>评估讲评系统：</w:t>
      </w:r>
      <w:r>
        <w:rPr>
          <w:rFonts w:hint="eastAsia" w:ascii="宋体" w:hAnsi="宋体"/>
          <w:color w:val="auto"/>
          <w:szCs w:val="21"/>
        </w:rPr>
        <w:t>根据资源类型不同，可对学生自学完成情况进行相应打分，形成学生自学成绩，自学成绩及分析可以图表形式反馈给教师，教师可据此讲评。</w:t>
      </w:r>
    </w:p>
    <w:p>
      <w:pPr>
        <w:adjustRightInd w:val="0"/>
        <w:snapToGrid w:val="0"/>
        <w:spacing w:line="360" w:lineRule="auto"/>
        <w:ind w:left="422"/>
        <w:rPr>
          <w:rFonts w:ascii="宋体" w:hAnsi="宋体"/>
          <w:color w:val="auto"/>
          <w:szCs w:val="21"/>
        </w:rPr>
      </w:pPr>
      <w:r>
        <w:rPr>
          <w:rFonts w:hint="eastAsia" w:ascii="宋体" w:hAnsi="宋体"/>
          <w:b/>
          <w:color w:val="auto"/>
          <w:szCs w:val="21"/>
        </w:rPr>
        <w:t>7、技能训练平台：</w:t>
      </w:r>
      <w:r>
        <w:rPr>
          <w:rFonts w:hint="eastAsia" w:ascii="宋体" w:hAnsi="宋体"/>
          <w:color w:val="auto"/>
          <w:szCs w:val="21"/>
        </w:rPr>
        <w:t>具备独立的听力训练系统、口语训练系统、阅读训练系统等。嵌入多种技能训练模式，训练完成后，系统自动进行评估，实现互动反馈式的自主训练。</w:t>
      </w:r>
      <w:r>
        <w:rPr>
          <w:rFonts w:ascii="宋体" w:hAnsi="宋体"/>
          <w:color w:val="auto"/>
          <w:szCs w:val="21"/>
        </w:rPr>
        <w:t xml:space="preserve"> </w:t>
      </w:r>
    </w:p>
    <w:p>
      <w:pPr>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⑴</w:t>
      </w:r>
      <w:r>
        <w:rPr>
          <w:rFonts w:hint="eastAsia" w:ascii="宋体" w:hAnsi="宋体"/>
          <w:b/>
          <w:color w:val="auto"/>
          <w:szCs w:val="21"/>
        </w:rPr>
        <w:t>听力训练系统：</w:t>
      </w:r>
      <w:r>
        <w:rPr>
          <w:rFonts w:hint="eastAsia" w:ascii="宋体" w:hAnsi="宋体"/>
          <w:color w:val="auto"/>
          <w:szCs w:val="21"/>
        </w:rPr>
        <w:t>包含初级听力训练、高级听力训练、听力能力测试等训练模式。训练过程中支持波形选择播放、添加干扰音、变速不变调等。</w:t>
      </w:r>
    </w:p>
    <w:p>
      <w:pPr>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⑵</w:t>
      </w:r>
      <w:r>
        <w:rPr>
          <w:rFonts w:hint="eastAsia" w:ascii="宋体" w:hAnsi="宋体"/>
          <w:b/>
          <w:color w:val="auto"/>
          <w:szCs w:val="21"/>
        </w:rPr>
        <w:t>★口语训练系统：</w:t>
      </w:r>
      <w:r>
        <w:rPr>
          <w:rFonts w:hint="eastAsia" w:ascii="宋体" w:hAnsi="宋体"/>
          <w:color w:val="auto"/>
          <w:szCs w:val="21"/>
        </w:rPr>
        <w:t>包含自动跟读、自主跟读、朗读、翻译配音、字幕配音等训练模式。学生可以选择相应的训练模式，从资源库中抽取相应的资源进行训练。口语训练过程中，系统带领学生进行口语发音训训练，能够自动对学生发音进行评分，合格的继续下一句的跟读，不合格的重读。</w:t>
      </w:r>
    </w:p>
    <w:p>
      <w:pPr>
        <w:adjustRightInd w:val="0"/>
        <w:snapToGrid w:val="0"/>
        <w:spacing w:line="360" w:lineRule="auto"/>
        <w:ind w:left="422"/>
        <w:rPr>
          <w:rFonts w:ascii="宋体" w:hAnsi="宋体"/>
          <w:b/>
          <w:color w:val="auto"/>
          <w:szCs w:val="21"/>
        </w:rPr>
      </w:pPr>
      <w:r>
        <w:rPr>
          <w:rFonts w:hint="eastAsia" w:asciiTheme="minorEastAsia" w:hAnsiTheme="minorEastAsia"/>
          <w:b/>
          <w:color w:val="auto"/>
          <w:szCs w:val="21"/>
        </w:rPr>
        <w:t>⑶</w:t>
      </w:r>
      <w:r>
        <w:rPr>
          <w:rFonts w:hint="eastAsia" w:ascii="宋体" w:hAnsi="宋体"/>
          <w:b/>
          <w:color w:val="auto"/>
          <w:szCs w:val="21"/>
        </w:rPr>
        <w:t>★阅读训练系统：</w:t>
      </w:r>
      <w:r>
        <w:rPr>
          <w:rFonts w:hint="eastAsia" w:ascii="宋体" w:hAnsi="宋体"/>
          <w:color w:val="auto"/>
          <w:szCs w:val="21"/>
        </w:rPr>
        <w:t>包含精读训练、视文理解、快速阅读等训练模式。训练资源进行针对性的整合和设计，支持一屏显示视频资源、对应的生词和阅读试题，答题完成后，系统自动进行评估。</w:t>
      </w:r>
    </w:p>
    <w:p>
      <w:pPr>
        <w:adjustRightInd w:val="0"/>
        <w:snapToGrid w:val="0"/>
        <w:spacing w:line="360" w:lineRule="auto"/>
        <w:ind w:left="422"/>
        <w:rPr>
          <w:rFonts w:ascii="宋体" w:hAnsi="宋体"/>
          <w:b/>
          <w:color w:val="auto"/>
          <w:szCs w:val="21"/>
        </w:rPr>
      </w:pPr>
      <w:r>
        <w:rPr>
          <w:rFonts w:hint="eastAsia" w:ascii="宋体" w:hAnsi="宋体"/>
          <w:b/>
          <w:color w:val="auto"/>
          <w:szCs w:val="21"/>
        </w:rPr>
        <w:t>8、专业化口语考试平台：</w:t>
      </w:r>
      <w:r>
        <w:rPr>
          <w:rFonts w:hint="eastAsia" w:ascii="宋体" w:hAnsi="宋体"/>
          <w:color w:val="auto"/>
          <w:szCs w:val="21"/>
        </w:rPr>
        <w:t>具备组卷、考前试音、考试过程、考后回放、阅卷等流程。支持问答式、讨论式考试形式。满足校级口试、英语专业四/八级口试等要求，采用无压缩的音频格式，完整记录考生的发音情况。</w:t>
      </w:r>
    </w:p>
    <w:p>
      <w:pPr>
        <w:tabs>
          <w:tab w:val="left" w:pos="1200"/>
        </w:tabs>
        <w:autoSpaceDE w:val="0"/>
        <w:autoSpaceDN w:val="0"/>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⑴</w:t>
      </w:r>
      <w:r>
        <w:rPr>
          <w:rFonts w:hint="eastAsia" w:ascii="宋体" w:hAnsi="宋体"/>
          <w:b/>
          <w:color w:val="auto"/>
          <w:szCs w:val="21"/>
        </w:rPr>
        <w:t>能与国家英语专业四六级网络化口语考试平台对接</w:t>
      </w:r>
      <w:r>
        <w:rPr>
          <w:rFonts w:hint="eastAsia" w:ascii="宋体" w:hAnsi="宋体"/>
          <w:color w:val="auto"/>
          <w:szCs w:val="21"/>
        </w:rPr>
        <w:t>，成为国家英语专业四六级网络化考试的正式考场。（网考系统有被国家级考试机构采纳过的应用案例，优先考虑，提供相关证明材料）</w:t>
      </w:r>
    </w:p>
    <w:p>
      <w:pPr>
        <w:tabs>
          <w:tab w:val="left" w:pos="1200"/>
        </w:tabs>
        <w:autoSpaceDE w:val="0"/>
        <w:autoSpaceDN w:val="0"/>
        <w:adjustRightInd w:val="0"/>
        <w:snapToGrid w:val="0"/>
        <w:spacing w:line="360" w:lineRule="auto"/>
        <w:ind w:left="422"/>
        <w:rPr>
          <w:rFonts w:ascii="宋体" w:hAnsi="宋体"/>
          <w:color w:val="auto"/>
          <w:szCs w:val="21"/>
        </w:rPr>
      </w:pPr>
      <w:r>
        <w:rPr>
          <w:rFonts w:hint="eastAsia" w:asciiTheme="minorEastAsia" w:hAnsiTheme="minorEastAsia"/>
          <w:b/>
          <w:color w:val="auto"/>
          <w:szCs w:val="21"/>
        </w:rPr>
        <w:t>⑵</w:t>
      </w:r>
      <w:r>
        <w:rPr>
          <w:rFonts w:hint="eastAsia" w:ascii="宋体" w:hAnsi="宋体"/>
          <w:b/>
          <w:color w:val="auto"/>
          <w:szCs w:val="21"/>
        </w:rPr>
        <w:t>具备完整的口语考试流程：</w:t>
      </w:r>
      <w:r>
        <w:rPr>
          <w:rFonts w:hint="eastAsia" w:ascii="宋体" w:hAnsi="宋体"/>
          <w:color w:val="auto"/>
          <w:szCs w:val="21"/>
        </w:rPr>
        <w:t>包括组卷系统、考试实施系统、阅卷管理系统等，支持问答式、讨论式考试形式，可满足各类口语考试要求。</w:t>
      </w:r>
    </w:p>
    <w:p>
      <w:pPr>
        <w:tabs>
          <w:tab w:val="left" w:pos="1200"/>
        </w:tabs>
        <w:autoSpaceDE w:val="0"/>
        <w:autoSpaceDN w:val="0"/>
        <w:adjustRightInd w:val="0"/>
        <w:snapToGrid w:val="0"/>
        <w:spacing w:line="360" w:lineRule="auto"/>
        <w:ind w:left="422"/>
        <w:rPr>
          <w:rFonts w:ascii="宋体" w:hAnsi="宋体"/>
          <w:color w:val="auto"/>
          <w:szCs w:val="21"/>
        </w:rPr>
      </w:pPr>
      <w:r>
        <w:rPr>
          <w:rFonts w:hint="eastAsia" w:ascii="宋体" w:hAnsi="宋体" w:eastAsia="宋体"/>
          <w:b/>
          <w:color w:val="auto"/>
          <w:szCs w:val="21"/>
        </w:rPr>
        <w:t>⑶</w:t>
      </w:r>
      <w:r>
        <w:rPr>
          <w:rFonts w:hint="eastAsia" w:ascii="宋体" w:hAnsi="宋体"/>
          <w:b/>
          <w:color w:val="auto"/>
          <w:szCs w:val="21"/>
        </w:rPr>
        <w:t>考试实施系统：</w:t>
      </w:r>
      <w:r>
        <w:rPr>
          <w:rFonts w:hint="eastAsia" w:ascii="宋体" w:hAnsi="宋体"/>
          <w:color w:val="auto"/>
          <w:szCs w:val="21"/>
        </w:rPr>
        <w:t>具备考前试音（测耳机和话咪）、考后回放环节；实现一键式自动化完成考试全过程的操作；采用无压缩的音频格式，完整记录考生的发音情况。</w:t>
      </w:r>
    </w:p>
    <w:p>
      <w:pPr>
        <w:adjustRightInd w:val="0"/>
        <w:snapToGrid w:val="0"/>
        <w:spacing w:line="360" w:lineRule="auto"/>
        <w:ind w:left="422"/>
        <w:rPr>
          <w:rFonts w:ascii="宋体" w:hAnsi="宋体"/>
          <w:color w:val="auto"/>
          <w:szCs w:val="21"/>
        </w:rPr>
      </w:pPr>
      <w:r>
        <w:rPr>
          <w:rFonts w:hint="eastAsia" w:ascii="宋体" w:hAnsi="宋体"/>
          <w:b/>
          <w:color w:val="auto"/>
          <w:szCs w:val="21"/>
        </w:rPr>
        <w:t>9、标准化考试平台：</w:t>
      </w:r>
      <w:r>
        <w:rPr>
          <w:rFonts w:hint="eastAsia" w:ascii="宋体" w:hAnsi="宋体"/>
          <w:color w:val="auto"/>
          <w:szCs w:val="21"/>
        </w:rPr>
        <w:t>具备组卷系统、考试实施系统、阅卷系统等考试流程模块，可实现主、客观题型的综合考试。</w:t>
      </w:r>
    </w:p>
    <w:p>
      <w:pPr>
        <w:adjustRightInd w:val="0"/>
        <w:snapToGrid w:val="0"/>
        <w:spacing w:line="360" w:lineRule="auto"/>
        <w:ind w:left="422"/>
        <w:rPr>
          <w:rFonts w:ascii="宋体" w:hAnsi="宋体"/>
          <w:color w:val="auto"/>
          <w:szCs w:val="21"/>
        </w:rPr>
      </w:pPr>
      <w:r>
        <w:rPr>
          <w:rFonts w:hint="eastAsia" w:ascii="宋体" w:hAnsi="宋体"/>
          <w:b/>
          <w:color w:val="auto"/>
          <w:szCs w:val="21"/>
        </w:rPr>
        <w:t>10、试题库、教材库：</w:t>
      </w:r>
      <w:r>
        <w:rPr>
          <w:rFonts w:hint="eastAsia" w:ascii="宋体" w:hAnsi="宋体"/>
          <w:color w:val="auto"/>
          <w:sz w:val="22"/>
        </w:rPr>
        <w:t>针对我校所使用的教材以及备选的教材，提供所需的所有资源，包括上课资源、考试资源等。请在投标书中详细描述。</w:t>
      </w:r>
    </w:p>
    <w:p>
      <w:pPr>
        <w:widowControl/>
        <w:jc w:val="left"/>
        <w:rPr>
          <w:rFonts w:ascii="Times New Roman" w:hAnsi="Times New Roman"/>
          <w:b/>
          <w:bCs/>
          <w:color w:val="auto"/>
          <w:sz w:val="28"/>
          <w:szCs w:val="28"/>
        </w:rPr>
      </w:pPr>
      <w:r>
        <w:rPr>
          <w:rFonts w:ascii="Times New Roman" w:hAnsi="Times New Roman"/>
          <w:b/>
          <w:bCs/>
          <w:color w:val="auto"/>
          <w:sz w:val="28"/>
          <w:szCs w:val="28"/>
        </w:rPr>
        <w:br w:type="page"/>
      </w:r>
    </w:p>
    <w:p>
      <w:pPr>
        <w:tabs>
          <w:tab w:val="left" w:pos="990"/>
        </w:tabs>
        <w:rPr>
          <w:rFonts w:ascii="宋体" w:hAnsi="宋体"/>
          <w:b/>
          <w:bCs/>
          <w:color w:val="auto"/>
          <w:sz w:val="28"/>
          <w:szCs w:val="28"/>
        </w:rPr>
      </w:pPr>
      <w:r>
        <w:rPr>
          <w:rFonts w:hint="eastAsia" w:ascii="Times New Roman" w:hAnsi="Times New Roman"/>
          <w:b/>
          <w:bCs/>
          <w:color w:val="auto"/>
          <w:sz w:val="28"/>
          <w:szCs w:val="28"/>
        </w:rPr>
        <w:t>A.</w:t>
      </w:r>
      <w:r>
        <w:rPr>
          <w:b/>
          <w:bCs/>
          <w:color w:val="auto"/>
          <w:sz w:val="28"/>
          <w:szCs w:val="28"/>
        </w:rPr>
        <w:t>1</w:t>
      </w:r>
      <w:r>
        <w:rPr>
          <w:rFonts w:hint="eastAsia" w:ascii="宋体" w:hAnsi="宋体"/>
          <w:b/>
          <w:bCs/>
          <w:color w:val="auto"/>
          <w:sz w:val="28"/>
          <w:szCs w:val="28"/>
        </w:rPr>
        <w:t xml:space="preserve"> 招标产品清单</w:t>
      </w:r>
    </w:p>
    <w:tbl>
      <w:tblPr>
        <w:tblStyle w:val="8"/>
        <w:tblW w:w="13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2552"/>
        <w:gridCol w:w="8221"/>
        <w:gridCol w:w="567"/>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类别</w:t>
            </w:r>
          </w:p>
        </w:tc>
        <w:tc>
          <w:tcPr>
            <w:tcW w:w="2552" w:type="dxa"/>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设备名称</w:t>
            </w:r>
          </w:p>
        </w:tc>
        <w:tc>
          <w:tcPr>
            <w:tcW w:w="8221" w:type="dxa"/>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参考规格型号、配置、技术参数</w:t>
            </w:r>
          </w:p>
        </w:tc>
        <w:tc>
          <w:tcPr>
            <w:tcW w:w="567" w:type="dxa"/>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数量</w:t>
            </w:r>
          </w:p>
        </w:tc>
        <w:tc>
          <w:tcPr>
            <w:tcW w:w="882" w:type="dxa"/>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39" w:type="dxa"/>
            <w:vAlign w:val="center"/>
          </w:tcPr>
          <w:p>
            <w:pPr>
              <w:widowControl/>
              <w:spacing w:before="31" w:beforeLines="10" w:after="31" w:afterLines="10"/>
              <w:jc w:val="center"/>
              <w:rPr>
                <w:rFonts w:ascii="宋体" w:hAnsi="宋体" w:cs="宋体"/>
                <w:b/>
                <w:color w:val="auto"/>
                <w:kern w:val="0"/>
                <w:sz w:val="22"/>
              </w:rPr>
            </w:pPr>
            <w:r>
              <w:rPr>
                <w:rFonts w:ascii="宋体" w:hAnsi="宋体" w:cs="宋体"/>
                <w:b/>
                <w:color w:val="auto"/>
                <w:kern w:val="0"/>
                <w:sz w:val="22"/>
              </w:rPr>
              <w:t>软件</w:t>
            </w:r>
          </w:p>
        </w:tc>
        <w:tc>
          <w:tcPr>
            <w:tcW w:w="255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语音室软件</w:t>
            </w:r>
          </w:p>
        </w:tc>
        <w:tc>
          <w:tcPr>
            <w:tcW w:w="8221" w:type="dxa"/>
            <w:vAlign w:val="center"/>
          </w:tcPr>
          <w:p>
            <w:pPr>
              <w:widowControl/>
              <w:spacing w:before="31" w:beforeLines="10" w:after="31" w:afterLines="10"/>
              <w:jc w:val="center"/>
              <w:rPr>
                <w:rFonts w:ascii="宋体" w:hAnsi="宋体" w:cs="宋体"/>
                <w:color w:val="auto"/>
                <w:kern w:val="0"/>
                <w:sz w:val="22"/>
              </w:rPr>
            </w:pPr>
            <w:r>
              <w:rPr>
                <w:rFonts w:ascii="宋体" w:hAnsi="宋体" w:cs="宋体"/>
                <w:color w:val="auto"/>
                <w:kern w:val="0"/>
                <w:sz w:val="22"/>
              </w:rPr>
              <w:t>能够实现全部上述功能的语音室软件系统</w:t>
            </w:r>
          </w:p>
        </w:tc>
        <w:tc>
          <w:tcPr>
            <w:tcW w:w="567"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3</w:t>
            </w:r>
          </w:p>
        </w:tc>
        <w:tc>
          <w:tcPr>
            <w:tcW w:w="88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39" w:type="dxa"/>
            <w:vAlign w:val="center"/>
          </w:tcPr>
          <w:p>
            <w:pPr>
              <w:widowControl/>
              <w:spacing w:before="31" w:beforeLines="10" w:after="31" w:afterLines="10"/>
              <w:jc w:val="center"/>
              <w:rPr>
                <w:rFonts w:ascii="宋体" w:hAnsi="宋体" w:cs="宋体"/>
                <w:b/>
                <w:color w:val="auto"/>
                <w:kern w:val="0"/>
                <w:sz w:val="22"/>
              </w:rPr>
            </w:pPr>
            <w:r>
              <w:rPr>
                <w:rFonts w:hint="eastAsia" w:ascii="宋体" w:hAnsi="宋体" w:cs="宋体"/>
                <w:b/>
                <w:bCs/>
                <w:color w:val="auto"/>
                <w:kern w:val="0"/>
                <w:sz w:val="22"/>
              </w:rPr>
              <w:t>硬件</w:t>
            </w:r>
          </w:p>
        </w:tc>
        <w:tc>
          <w:tcPr>
            <w:tcW w:w="255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配套语音室硬件设备</w:t>
            </w:r>
          </w:p>
        </w:tc>
        <w:tc>
          <w:tcPr>
            <w:tcW w:w="8221" w:type="dxa"/>
            <w:vAlign w:val="center"/>
          </w:tcPr>
          <w:p>
            <w:pPr>
              <w:widowControl/>
              <w:spacing w:before="31" w:beforeLines="10" w:after="31" w:afterLines="10"/>
              <w:jc w:val="center"/>
              <w:rPr>
                <w:rFonts w:ascii="宋体" w:hAnsi="宋体" w:cs="宋体"/>
                <w:color w:val="auto"/>
                <w:kern w:val="0"/>
                <w:sz w:val="22"/>
              </w:rPr>
            </w:pPr>
            <w:r>
              <w:rPr>
                <w:rFonts w:ascii="宋体" w:hAnsi="宋体" w:cs="宋体"/>
                <w:color w:val="auto"/>
                <w:kern w:val="0"/>
                <w:sz w:val="22"/>
              </w:rPr>
              <w:t>能够实现全部上述功能的语音室配套硬件系统</w:t>
            </w:r>
          </w:p>
        </w:tc>
        <w:tc>
          <w:tcPr>
            <w:tcW w:w="567"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3</w:t>
            </w:r>
          </w:p>
        </w:tc>
        <w:tc>
          <w:tcPr>
            <w:tcW w:w="88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39" w:type="dxa"/>
            <w:vAlign w:val="center"/>
          </w:tcPr>
          <w:p>
            <w:pPr>
              <w:widowControl/>
              <w:spacing w:before="31" w:beforeLines="10" w:after="31" w:afterLines="10"/>
              <w:jc w:val="center"/>
              <w:rPr>
                <w:rFonts w:ascii="宋体" w:hAnsi="宋体" w:cs="宋体"/>
                <w:b/>
                <w:color w:val="auto"/>
                <w:kern w:val="0"/>
                <w:sz w:val="22"/>
              </w:rPr>
            </w:pPr>
            <w:r>
              <w:rPr>
                <w:rFonts w:ascii="宋体" w:hAnsi="宋体" w:cs="宋体"/>
                <w:b/>
                <w:color w:val="auto"/>
                <w:kern w:val="0"/>
                <w:sz w:val="22"/>
              </w:rPr>
              <w:t>教学资源</w:t>
            </w:r>
          </w:p>
        </w:tc>
        <w:tc>
          <w:tcPr>
            <w:tcW w:w="255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Cs w:val="21"/>
              </w:rPr>
              <w:t>免费提供课程资源</w:t>
            </w:r>
          </w:p>
        </w:tc>
        <w:tc>
          <w:tcPr>
            <w:tcW w:w="8221" w:type="dxa"/>
            <w:vAlign w:val="center"/>
          </w:tcPr>
          <w:p>
            <w:pPr>
              <w:widowControl/>
              <w:spacing w:before="31" w:beforeLines="10" w:after="31" w:afterLines="10"/>
              <w:jc w:val="center"/>
              <w:rPr>
                <w:rFonts w:ascii="宋体" w:hAnsi="宋体"/>
                <w:color w:val="auto"/>
                <w:sz w:val="22"/>
              </w:rPr>
            </w:pPr>
            <w:r>
              <w:rPr>
                <w:rFonts w:hint="eastAsia" w:ascii="宋体" w:hAnsi="宋体"/>
                <w:color w:val="auto"/>
                <w:sz w:val="22"/>
              </w:rPr>
              <w:t>针对我校所使用的教材以及备选的教材，提供所需的所有资源</w:t>
            </w:r>
          </w:p>
        </w:tc>
        <w:tc>
          <w:tcPr>
            <w:tcW w:w="567"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1</w:t>
            </w:r>
          </w:p>
        </w:tc>
        <w:tc>
          <w:tcPr>
            <w:tcW w:w="88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39" w:type="dxa"/>
            <w:vMerge w:val="restart"/>
            <w:vAlign w:val="center"/>
          </w:tcPr>
          <w:p>
            <w:pPr>
              <w:widowControl/>
              <w:spacing w:before="31" w:beforeLines="10" w:after="31" w:afterLines="10"/>
              <w:jc w:val="center"/>
              <w:rPr>
                <w:rFonts w:ascii="宋体" w:hAnsi="宋体" w:cs="宋体"/>
                <w:b/>
                <w:bCs/>
                <w:color w:val="auto"/>
                <w:kern w:val="0"/>
                <w:sz w:val="22"/>
              </w:rPr>
            </w:pPr>
            <w:r>
              <w:rPr>
                <w:rFonts w:ascii="宋体" w:hAnsi="宋体" w:cs="宋体"/>
                <w:b/>
                <w:bCs/>
                <w:color w:val="auto"/>
                <w:kern w:val="0"/>
                <w:sz w:val="22"/>
              </w:rPr>
              <w:t>配套工程</w:t>
            </w:r>
          </w:p>
          <w:p>
            <w:pPr>
              <w:widowControl/>
              <w:spacing w:before="31" w:beforeLines="10" w:after="31" w:afterLines="10"/>
              <w:jc w:val="center"/>
              <w:rPr>
                <w:rFonts w:ascii="宋体" w:hAnsi="宋体" w:cs="宋体"/>
                <w:b/>
                <w:bCs/>
                <w:color w:val="auto"/>
                <w:kern w:val="0"/>
                <w:sz w:val="22"/>
              </w:rPr>
            </w:pPr>
            <w:r>
              <w:rPr>
                <w:rFonts w:hint="eastAsia" w:ascii="宋体" w:hAnsi="宋体" w:cs="宋体"/>
                <w:b/>
                <w:bCs/>
                <w:color w:val="auto"/>
                <w:kern w:val="0"/>
                <w:sz w:val="22"/>
              </w:rPr>
              <w:t>、</w:t>
            </w:r>
            <w:r>
              <w:rPr>
                <w:rFonts w:ascii="宋体" w:hAnsi="宋体" w:cs="宋体"/>
                <w:b/>
                <w:bCs/>
                <w:color w:val="auto"/>
                <w:kern w:val="0"/>
                <w:sz w:val="22"/>
              </w:rPr>
              <w:t>设备与附件</w:t>
            </w:r>
          </w:p>
        </w:tc>
        <w:tc>
          <w:tcPr>
            <w:tcW w:w="255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高档教师耳机</w:t>
            </w:r>
          </w:p>
        </w:tc>
        <w:tc>
          <w:tcPr>
            <w:tcW w:w="8221"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与语音系统主要设备同一品牌，头戴封闭式立体声耳机，带抗静电话咪，动圈式工作方式，直放型导线，带音量调节和话咪开关</w:t>
            </w:r>
          </w:p>
        </w:tc>
        <w:tc>
          <w:tcPr>
            <w:tcW w:w="567"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4</w:t>
            </w:r>
          </w:p>
        </w:tc>
        <w:tc>
          <w:tcPr>
            <w:tcW w:w="88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center"/>
          </w:tcPr>
          <w:p>
            <w:pPr>
              <w:widowControl/>
              <w:spacing w:before="31" w:beforeLines="10" w:after="31" w:afterLines="10"/>
              <w:jc w:val="center"/>
              <w:rPr>
                <w:rFonts w:ascii="宋体" w:hAnsi="宋体" w:cs="宋体"/>
                <w:b/>
                <w:bCs/>
                <w:color w:val="auto"/>
                <w:kern w:val="0"/>
                <w:sz w:val="22"/>
              </w:rPr>
            </w:pPr>
          </w:p>
        </w:tc>
        <w:tc>
          <w:tcPr>
            <w:tcW w:w="255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高档学生耳机</w:t>
            </w:r>
          </w:p>
        </w:tc>
        <w:tc>
          <w:tcPr>
            <w:tcW w:w="8221"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与语音系统主要设备同一品牌，头戴封闭式立体声耳机，带抗静电话咪，动圈式工作方式，弹簧型导线</w:t>
            </w:r>
          </w:p>
        </w:tc>
        <w:tc>
          <w:tcPr>
            <w:tcW w:w="567"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216</w:t>
            </w:r>
          </w:p>
        </w:tc>
        <w:tc>
          <w:tcPr>
            <w:tcW w:w="88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center"/>
          </w:tcPr>
          <w:p>
            <w:pPr>
              <w:widowControl/>
              <w:spacing w:before="31" w:beforeLines="10" w:after="31" w:afterLines="10"/>
              <w:jc w:val="center"/>
              <w:rPr>
                <w:rFonts w:ascii="宋体" w:hAnsi="宋体" w:cs="宋体"/>
                <w:b/>
                <w:color w:val="auto"/>
                <w:kern w:val="0"/>
                <w:sz w:val="22"/>
              </w:rPr>
            </w:pPr>
          </w:p>
        </w:tc>
        <w:tc>
          <w:tcPr>
            <w:tcW w:w="2552" w:type="dxa"/>
            <w:vAlign w:val="center"/>
          </w:tcPr>
          <w:p>
            <w:pPr>
              <w:spacing w:before="31" w:beforeLines="10" w:after="31" w:afterLines="10"/>
              <w:jc w:val="center"/>
              <w:rPr>
                <w:rFonts w:ascii="宋体" w:hAnsi="宋体" w:cs="宋体"/>
                <w:color w:val="auto"/>
                <w:sz w:val="22"/>
              </w:rPr>
            </w:pPr>
            <w:r>
              <w:rPr>
                <w:rFonts w:hint="eastAsia" w:ascii="宋体" w:hAnsi="宋体"/>
                <w:color w:val="auto"/>
                <w:sz w:val="22"/>
              </w:rPr>
              <w:t>配套线材与杂配件</w:t>
            </w:r>
          </w:p>
        </w:tc>
        <w:tc>
          <w:tcPr>
            <w:tcW w:w="8221" w:type="dxa"/>
            <w:vAlign w:val="center"/>
          </w:tcPr>
          <w:p>
            <w:pPr>
              <w:spacing w:before="31" w:beforeLines="10" w:after="31" w:afterLines="10"/>
              <w:jc w:val="center"/>
              <w:rPr>
                <w:rFonts w:ascii="宋体" w:hAnsi="宋体" w:cs="宋体"/>
                <w:color w:val="auto"/>
                <w:sz w:val="22"/>
              </w:rPr>
            </w:pPr>
            <w:r>
              <w:rPr>
                <w:rFonts w:hint="eastAsia" w:ascii="宋体" w:hAnsi="宋体"/>
                <w:color w:val="auto"/>
                <w:sz w:val="22"/>
              </w:rPr>
              <w:t>网线/电缆线/等</w:t>
            </w:r>
          </w:p>
        </w:tc>
        <w:tc>
          <w:tcPr>
            <w:tcW w:w="567" w:type="dxa"/>
            <w:vAlign w:val="center"/>
          </w:tcPr>
          <w:p>
            <w:pPr>
              <w:spacing w:before="31" w:beforeLines="10" w:after="31" w:afterLines="10"/>
              <w:jc w:val="center"/>
              <w:rPr>
                <w:rFonts w:ascii="宋体" w:hAnsi="宋体" w:cs="宋体"/>
                <w:color w:val="auto"/>
                <w:sz w:val="22"/>
              </w:rPr>
            </w:pPr>
            <w:r>
              <w:rPr>
                <w:rFonts w:hint="eastAsia" w:ascii="宋体" w:hAnsi="宋体"/>
                <w:color w:val="auto"/>
                <w:sz w:val="22"/>
              </w:rPr>
              <w:t>216</w:t>
            </w:r>
          </w:p>
        </w:tc>
        <w:tc>
          <w:tcPr>
            <w:tcW w:w="882" w:type="dxa"/>
            <w:vAlign w:val="center"/>
          </w:tcPr>
          <w:p>
            <w:pPr>
              <w:spacing w:before="31" w:beforeLines="10" w:after="31" w:afterLines="10"/>
              <w:jc w:val="center"/>
              <w:rPr>
                <w:rFonts w:ascii="宋体" w:hAnsi="宋体" w:cs="宋体"/>
                <w:color w:val="auto"/>
                <w:sz w:val="22"/>
              </w:rPr>
            </w:pPr>
            <w:r>
              <w:rPr>
                <w:rFonts w:hint="eastAsia" w:ascii="宋体" w:hAnsi="宋体"/>
                <w:color w:val="auto"/>
                <w:sz w:val="22"/>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center"/>
          </w:tcPr>
          <w:p>
            <w:pPr>
              <w:widowControl/>
              <w:spacing w:before="31" w:beforeLines="10" w:after="31" w:afterLines="10"/>
              <w:jc w:val="center"/>
              <w:rPr>
                <w:rFonts w:ascii="宋体" w:hAnsi="宋体" w:cs="宋体"/>
                <w:b/>
                <w:color w:val="auto"/>
                <w:kern w:val="0"/>
                <w:sz w:val="22"/>
              </w:rPr>
            </w:pPr>
          </w:p>
        </w:tc>
        <w:tc>
          <w:tcPr>
            <w:tcW w:w="2552"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学生桌</w:t>
            </w:r>
          </w:p>
        </w:tc>
        <w:tc>
          <w:tcPr>
            <w:tcW w:w="8221"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两联桌，尺寸款式等与原有保持一致。</w:t>
            </w:r>
          </w:p>
        </w:tc>
        <w:tc>
          <w:tcPr>
            <w:tcW w:w="567"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36</w:t>
            </w:r>
          </w:p>
        </w:tc>
        <w:tc>
          <w:tcPr>
            <w:tcW w:w="882"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center"/>
          </w:tcPr>
          <w:p>
            <w:pPr>
              <w:widowControl/>
              <w:spacing w:before="31" w:beforeLines="10" w:after="31" w:afterLines="10"/>
              <w:jc w:val="center"/>
              <w:rPr>
                <w:rFonts w:ascii="宋体" w:hAnsi="宋体" w:cs="宋体"/>
                <w:b/>
                <w:color w:val="auto"/>
                <w:kern w:val="0"/>
                <w:sz w:val="22"/>
              </w:rPr>
            </w:pPr>
          </w:p>
        </w:tc>
        <w:tc>
          <w:tcPr>
            <w:tcW w:w="2552"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学生凳</w:t>
            </w:r>
          </w:p>
        </w:tc>
        <w:tc>
          <w:tcPr>
            <w:tcW w:w="8221"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小方凳，尺寸一致</w:t>
            </w:r>
          </w:p>
        </w:tc>
        <w:tc>
          <w:tcPr>
            <w:tcW w:w="567"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80</w:t>
            </w:r>
          </w:p>
        </w:tc>
        <w:tc>
          <w:tcPr>
            <w:tcW w:w="882"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center"/>
          </w:tcPr>
          <w:p>
            <w:pPr>
              <w:widowControl/>
              <w:spacing w:before="31" w:beforeLines="10" w:after="31" w:afterLines="10"/>
              <w:jc w:val="center"/>
              <w:rPr>
                <w:rFonts w:ascii="宋体" w:hAnsi="宋体" w:cs="宋体"/>
                <w:b/>
                <w:color w:val="auto"/>
                <w:kern w:val="0"/>
                <w:sz w:val="22"/>
              </w:rPr>
            </w:pPr>
          </w:p>
        </w:tc>
        <w:tc>
          <w:tcPr>
            <w:tcW w:w="2552"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教师控制台</w:t>
            </w:r>
          </w:p>
        </w:tc>
        <w:tc>
          <w:tcPr>
            <w:tcW w:w="8221"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根据现场勘察，能够存放语音室教师端设备。</w:t>
            </w:r>
          </w:p>
        </w:tc>
        <w:tc>
          <w:tcPr>
            <w:tcW w:w="567"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3</w:t>
            </w:r>
          </w:p>
        </w:tc>
        <w:tc>
          <w:tcPr>
            <w:tcW w:w="882" w:type="dxa"/>
            <w:vAlign w:val="center"/>
          </w:tcPr>
          <w:p>
            <w:pPr>
              <w:spacing w:before="31" w:beforeLines="10" w:after="31" w:afterLines="10"/>
              <w:jc w:val="center"/>
              <w:rPr>
                <w:rFonts w:ascii="宋体" w:hAnsi="宋体"/>
                <w:color w:val="auto"/>
                <w:sz w:val="22"/>
              </w:rPr>
            </w:pPr>
            <w:r>
              <w:rPr>
                <w:rFonts w:hint="eastAsia" w:ascii="宋体" w:hAnsi="宋体"/>
                <w:color w:val="auto"/>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center"/>
          </w:tcPr>
          <w:p>
            <w:pPr>
              <w:spacing w:before="31" w:beforeLines="10" w:after="31" w:afterLines="10"/>
              <w:jc w:val="center"/>
              <w:rPr>
                <w:rFonts w:ascii="宋体" w:hAnsi="宋体" w:cs="宋体"/>
                <w:color w:val="auto"/>
                <w:kern w:val="0"/>
                <w:sz w:val="22"/>
              </w:rPr>
            </w:pPr>
          </w:p>
        </w:tc>
        <w:tc>
          <w:tcPr>
            <w:tcW w:w="255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音箱</w:t>
            </w:r>
          </w:p>
        </w:tc>
        <w:tc>
          <w:tcPr>
            <w:tcW w:w="8221"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60W+60W，阻抗8欧姆，自带音箱支架</w:t>
            </w:r>
          </w:p>
        </w:tc>
        <w:tc>
          <w:tcPr>
            <w:tcW w:w="567"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3</w:t>
            </w:r>
          </w:p>
        </w:tc>
        <w:tc>
          <w:tcPr>
            <w:tcW w:w="88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center"/>
          </w:tcPr>
          <w:p>
            <w:pPr>
              <w:spacing w:before="31" w:beforeLines="10" w:after="31" w:afterLines="10"/>
              <w:jc w:val="center"/>
              <w:rPr>
                <w:rFonts w:ascii="宋体" w:hAnsi="宋体" w:cs="宋体"/>
                <w:color w:val="auto"/>
                <w:kern w:val="0"/>
                <w:sz w:val="22"/>
              </w:rPr>
            </w:pPr>
          </w:p>
        </w:tc>
        <w:tc>
          <w:tcPr>
            <w:tcW w:w="255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功放</w:t>
            </w:r>
          </w:p>
        </w:tc>
        <w:tc>
          <w:tcPr>
            <w:tcW w:w="8221"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额定功率</w:t>
            </w:r>
            <w:r>
              <w:rPr>
                <w:rFonts w:ascii="宋体" w:hAnsi="宋体" w:cs="宋体"/>
                <w:color w:val="auto"/>
                <w:kern w:val="0"/>
                <w:sz w:val="22"/>
              </w:rPr>
              <w:t>6</w:t>
            </w:r>
            <w:r>
              <w:rPr>
                <w:rFonts w:hint="eastAsia" w:ascii="宋体" w:hAnsi="宋体" w:cs="宋体"/>
                <w:color w:val="auto"/>
                <w:kern w:val="0"/>
                <w:sz w:val="22"/>
              </w:rPr>
              <w:t>0w+</w:t>
            </w:r>
            <w:r>
              <w:rPr>
                <w:rFonts w:ascii="宋体" w:hAnsi="宋体" w:cs="宋体"/>
                <w:color w:val="auto"/>
                <w:kern w:val="0"/>
                <w:sz w:val="22"/>
              </w:rPr>
              <w:t>6</w:t>
            </w:r>
            <w:r>
              <w:rPr>
                <w:rFonts w:hint="eastAsia" w:ascii="宋体" w:hAnsi="宋体" w:cs="宋体"/>
                <w:color w:val="auto"/>
                <w:kern w:val="0"/>
                <w:sz w:val="22"/>
              </w:rPr>
              <w:t>0w，阻抗8欧姆，频率响应20-20KHz</w:t>
            </w:r>
          </w:p>
        </w:tc>
        <w:tc>
          <w:tcPr>
            <w:tcW w:w="567"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3</w:t>
            </w:r>
          </w:p>
        </w:tc>
        <w:tc>
          <w:tcPr>
            <w:tcW w:w="882" w:type="dxa"/>
            <w:vAlign w:val="center"/>
          </w:tcPr>
          <w:p>
            <w:pPr>
              <w:widowControl/>
              <w:spacing w:before="31" w:beforeLines="10" w:after="31" w:afterLines="10"/>
              <w:jc w:val="center"/>
              <w:rPr>
                <w:rFonts w:ascii="宋体" w:hAnsi="宋体" w:cs="宋体"/>
                <w:color w:val="auto"/>
                <w:kern w:val="0"/>
                <w:sz w:val="22"/>
              </w:rPr>
            </w:pPr>
            <w:r>
              <w:rPr>
                <w:rFonts w:hint="eastAsia" w:ascii="宋体" w:hAnsi="宋体" w:cs="宋体"/>
                <w:color w:val="auto"/>
                <w:kern w:val="0"/>
                <w:sz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restart"/>
            <w:vAlign w:val="center"/>
          </w:tcPr>
          <w:p>
            <w:pPr>
              <w:widowControl/>
              <w:spacing w:before="31" w:beforeLines="10" w:after="31" w:afterLines="10"/>
              <w:jc w:val="center"/>
              <w:rPr>
                <w:rFonts w:ascii="宋体" w:hAnsi="宋体" w:cs="宋体"/>
                <w:color w:val="auto"/>
                <w:kern w:val="0"/>
                <w:sz w:val="22"/>
              </w:rPr>
            </w:pPr>
            <w:r>
              <w:rPr>
                <w:rFonts w:ascii="宋体" w:hAnsi="宋体" w:cs="宋体"/>
                <w:b/>
                <w:bCs/>
                <w:color w:val="auto"/>
                <w:kern w:val="0"/>
                <w:sz w:val="22"/>
              </w:rPr>
              <w:t>其他</w:t>
            </w:r>
          </w:p>
        </w:tc>
        <w:tc>
          <w:tcPr>
            <w:tcW w:w="2552" w:type="dxa"/>
            <w:vAlign w:val="center"/>
          </w:tcPr>
          <w:p>
            <w:pPr>
              <w:widowControl/>
              <w:adjustRightInd w:val="0"/>
              <w:snapToGrid w:val="0"/>
              <w:jc w:val="center"/>
              <w:rPr>
                <w:rFonts w:ascii="宋体" w:hAnsi="宋体" w:cs="宋体"/>
                <w:color w:val="auto"/>
                <w:kern w:val="0"/>
                <w:szCs w:val="21"/>
              </w:rPr>
            </w:pPr>
            <w:r>
              <w:rPr>
                <w:rFonts w:hint="eastAsia" w:ascii="宋体" w:hAnsi="宋体" w:cs="宋体"/>
                <w:color w:val="auto"/>
                <w:kern w:val="0"/>
                <w:szCs w:val="21"/>
              </w:rPr>
              <w:t>语音室拆除与清理、电脑桌维修</w:t>
            </w:r>
          </w:p>
        </w:tc>
        <w:tc>
          <w:tcPr>
            <w:tcW w:w="8221" w:type="dxa"/>
            <w:vAlign w:val="center"/>
          </w:tcPr>
          <w:p>
            <w:pPr>
              <w:widowControl/>
              <w:adjustRightInd w:val="0"/>
              <w:snapToGrid w:val="0"/>
              <w:jc w:val="center"/>
              <w:rPr>
                <w:rFonts w:ascii="宋体" w:hAnsi="宋体" w:cs="宋体"/>
                <w:color w:val="auto"/>
                <w:kern w:val="0"/>
                <w:szCs w:val="21"/>
              </w:rPr>
            </w:pPr>
            <w:r>
              <w:rPr>
                <w:rFonts w:ascii="宋体" w:hAnsi="宋体" w:cs="宋体"/>
                <w:color w:val="auto"/>
                <w:kern w:val="0"/>
                <w:szCs w:val="21"/>
              </w:rPr>
              <w:t>负责拆除报废的设施并搬运到指定的存放位置</w:t>
            </w:r>
            <w:r>
              <w:rPr>
                <w:rFonts w:hint="eastAsia" w:ascii="宋体" w:hAnsi="宋体" w:cs="宋体"/>
                <w:color w:val="auto"/>
                <w:kern w:val="0"/>
                <w:szCs w:val="21"/>
              </w:rPr>
              <w:t>，</w:t>
            </w:r>
            <w:r>
              <w:rPr>
                <w:rFonts w:ascii="宋体" w:hAnsi="宋体" w:cs="宋体"/>
                <w:color w:val="auto"/>
                <w:kern w:val="0"/>
                <w:szCs w:val="21"/>
              </w:rPr>
              <w:t>并对需要进行维修</w:t>
            </w:r>
            <w:r>
              <w:rPr>
                <w:rFonts w:hint="eastAsia" w:ascii="宋体" w:hAnsi="宋体" w:cs="宋体"/>
                <w:color w:val="auto"/>
                <w:kern w:val="0"/>
                <w:szCs w:val="21"/>
              </w:rPr>
              <w:t>、</w:t>
            </w:r>
            <w:r>
              <w:rPr>
                <w:rFonts w:ascii="宋体" w:hAnsi="宋体" w:cs="宋体"/>
                <w:color w:val="auto"/>
                <w:kern w:val="0"/>
                <w:szCs w:val="21"/>
              </w:rPr>
              <w:t>改造的已有设施进行维修</w:t>
            </w:r>
            <w:r>
              <w:rPr>
                <w:rFonts w:hint="eastAsia" w:ascii="宋体" w:hAnsi="宋体" w:cs="宋体"/>
                <w:color w:val="auto"/>
                <w:kern w:val="0"/>
                <w:szCs w:val="21"/>
              </w:rPr>
              <w:t>、</w:t>
            </w:r>
            <w:r>
              <w:rPr>
                <w:rFonts w:ascii="宋体" w:hAnsi="宋体" w:cs="宋体"/>
                <w:color w:val="auto"/>
                <w:kern w:val="0"/>
                <w:szCs w:val="21"/>
              </w:rPr>
              <w:t>改造</w:t>
            </w:r>
          </w:p>
        </w:tc>
        <w:tc>
          <w:tcPr>
            <w:tcW w:w="567" w:type="dxa"/>
            <w:vAlign w:val="center"/>
          </w:tcPr>
          <w:p>
            <w:pPr>
              <w:widowControl/>
              <w:adjustRightInd w:val="0"/>
              <w:snapToGrid w:val="0"/>
              <w:jc w:val="center"/>
              <w:rPr>
                <w:rFonts w:ascii="宋体" w:hAnsi="宋体" w:cs="宋体"/>
                <w:color w:val="auto"/>
                <w:kern w:val="0"/>
                <w:szCs w:val="21"/>
              </w:rPr>
            </w:pPr>
            <w:r>
              <w:rPr>
                <w:rFonts w:hint="eastAsia" w:ascii="宋体" w:hAnsi="宋体" w:cs="宋体"/>
                <w:color w:val="auto"/>
                <w:kern w:val="0"/>
                <w:szCs w:val="21"/>
              </w:rPr>
              <w:t>1</w:t>
            </w:r>
          </w:p>
        </w:tc>
        <w:tc>
          <w:tcPr>
            <w:tcW w:w="882" w:type="dxa"/>
            <w:vAlign w:val="center"/>
          </w:tcPr>
          <w:p>
            <w:pPr>
              <w:widowControl/>
              <w:spacing w:before="31" w:beforeLines="10" w:after="31" w:afterLines="10"/>
              <w:jc w:val="center"/>
              <w:rPr>
                <w:rFonts w:ascii="宋体" w:hAnsi="宋体" w:cs="宋体"/>
                <w:color w:val="auto"/>
                <w:kern w:val="0"/>
                <w:sz w:val="22"/>
              </w:rPr>
            </w:pPr>
            <w:r>
              <w:rPr>
                <w:rFonts w:ascii="宋体" w:hAnsi="宋体" w:cs="宋体"/>
                <w:color w:val="auto"/>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center"/>
          </w:tcPr>
          <w:p>
            <w:pPr>
              <w:spacing w:before="31" w:beforeLines="10" w:after="31" w:afterLines="10"/>
              <w:jc w:val="center"/>
              <w:rPr>
                <w:rFonts w:ascii="宋体" w:hAnsi="宋体" w:cs="宋体"/>
                <w:color w:val="auto"/>
                <w:kern w:val="0"/>
                <w:sz w:val="22"/>
              </w:rPr>
            </w:pPr>
          </w:p>
        </w:tc>
        <w:tc>
          <w:tcPr>
            <w:tcW w:w="2552" w:type="dxa"/>
            <w:vAlign w:val="center"/>
          </w:tcPr>
          <w:p>
            <w:pPr>
              <w:adjustRightInd w:val="0"/>
              <w:snapToGrid w:val="0"/>
              <w:jc w:val="center"/>
              <w:rPr>
                <w:rFonts w:asciiTheme="minorEastAsia" w:hAnsiTheme="minorEastAsia"/>
                <w:color w:val="auto"/>
                <w:szCs w:val="21"/>
              </w:rPr>
            </w:pPr>
            <w:r>
              <w:rPr>
                <w:rFonts w:hint="eastAsia" w:asciiTheme="minorEastAsia" w:hAnsiTheme="minorEastAsia"/>
                <w:color w:val="auto"/>
                <w:szCs w:val="21"/>
              </w:rPr>
              <w:t>大屏幕课表显示系统</w:t>
            </w:r>
          </w:p>
        </w:tc>
        <w:tc>
          <w:tcPr>
            <w:tcW w:w="8221" w:type="dxa"/>
            <w:vAlign w:val="center"/>
          </w:tcPr>
          <w:p>
            <w:pPr>
              <w:adjustRightInd w:val="0"/>
              <w:snapToGrid w:val="0"/>
              <w:jc w:val="center"/>
              <w:rPr>
                <w:rFonts w:asciiTheme="minorEastAsia" w:hAnsiTheme="minorEastAsia"/>
                <w:color w:val="auto"/>
                <w:szCs w:val="21"/>
              </w:rPr>
            </w:pPr>
            <w:r>
              <w:rPr>
                <w:rFonts w:hint="eastAsia" w:asciiTheme="minorEastAsia" w:hAnsiTheme="minorEastAsia"/>
                <w:color w:val="auto"/>
                <w:szCs w:val="21"/>
              </w:rPr>
              <w:t>55寸液晶及装修(参考现有2-4层机房样式)</w:t>
            </w:r>
          </w:p>
        </w:tc>
        <w:tc>
          <w:tcPr>
            <w:tcW w:w="567" w:type="dxa"/>
            <w:vAlign w:val="center"/>
          </w:tcPr>
          <w:p>
            <w:pPr>
              <w:adjustRightInd w:val="0"/>
              <w:snapToGrid w:val="0"/>
              <w:jc w:val="center"/>
              <w:rPr>
                <w:rFonts w:asciiTheme="minorEastAsia" w:hAnsiTheme="minorEastAsia"/>
                <w:color w:val="auto"/>
                <w:szCs w:val="21"/>
              </w:rPr>
            </w:pPr>
            <w:r>
              <w:rPr>
                <w:rFonts w:hint="eastAsia" w:asciiTheme="minorEastAsia" w:hAnsiTheme="minorEastAsia"/>
                <w:color w:val="auto"/>
                <w:szCs w:val="21"/>
              </w:rPr>
              <w:t>1</w:t>
            </w:r>
          </w:p>
        </w:tc>
        <w:tc>
          <w:tcPr>
            <w:tcW w:w="882" w:type="dxa"/>
            <w:vAlign w:val="center"/>
          </w:tcPr>
          <w:p>
            <w:pPr>
              <w:widowControl/>
              <w:spacing w:before="31" w:beforeLines="10" w:after="31" w:afterLines="10"/>
              <w:jc w:val="center"/>
              <w:rPr>
                <w:rFonts w:ascii="宋体" w:hAnsi="宋体" w:cs="宋体"/>
                <w:color w:val="auto"/>
                <w:kern w:val="0"/>
                <w:sz w:val="22"/>
              </w:rPr>
            </w:pPr>
            <w:r>
              <w:rPr>
                <w:rFonts w:ascii="宋体" w:hAnsi="宋体" w:cs="宋体"/>
                <w:color w:val="auto"/>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center"/>
          </w:tcPr>
          <w:p>
            <w:pPr>
              <w:spacing w:before="31" w:beforeLines="10" w:after="31" w:afterLines="10"/>
              <w:jc w:val="center"/>
              <w:rPr>
                <w:rFonts w:ascii="宋体" w:hAnsi="宋体" w:cs="宋体"/>
                <w:color w:val="auto"/>
                <w:kern w:val="0"/>
                <w:sz w:val="22"/>
              </w:rPr>
            </w:pPr>
          </w:p>
        </w:tc>
        <w:tc>
          <w:tcPr>
            <w:tcW w:w="2552" w:type="dxa"/>
            <w:vAlign w:val="center"/>
          </w:tcPr>
          <w:p>
            <w:pPr>
              <w:adjustRightInd w:val="0"/>
              <w:snapToGrid w:val="0"/>
              <w:jc w:val="center"/>
              <w:rPr>
                <w:rFonts w:asciiTheme="minorEastAsia" w:hAnsiTheme="minorEastAsia"/>
                <w:color w:val="auto"/>
                <w:szCs w:val="21"/>
              </w:rPr>
            </w:pPr>
            <w:r>
              <w:rPr>
                <w:rFonts w:hint="eastAsia" w:asciiTheme="minorEastAsia" w:hAnsiTheme="minorEastAsia"/>
                <w:color w:val="auto"/>
                <w:szCs w:val="21"/>
              </w:rPr>
              <w:t>监控系统升级</w:t>
            </w:r>
          </w:p>
        </w:tc>
        <w:tc>
          <w:tcPr>
            <w:tcW w:w="8221" w:type="dxa"/>
            <w:vAlign w:val="center"/>
          </w:tcPr>
          <w:p>
            <w:pPr>
              <w:adjustRightInd w:val="0"/>
              <w:snapToGrid w:val="0"/>
              <w:jc w:val="center"/>
              <w:rPr>
                <w:rFonts w:asciiTheme="minorEastAsia" w:hAnsiTheme="minorEastAsia"/>
                <w:color w:val="auto"/>
                <w:szCs w:val="21"/>
              </w:rPr>
            </w:pPr>
            <w:r>
              <w:rPr>
                <w:rFonts w:hint="eastAsia" w:asciiTheme="minorEastAsia" w:hAnsiTheme="minorEastAsia"/>
                <w:color w:val="auto"/>
                <w:szCs w:val="21"/>
              </w:rPr>
              <w:t>16路硬盘录像机及2T硬盘(需根据现场情况进行确定)</w:t>
            </w:r>
          </w:p>
        </w:tc>
        <w:tc>
          <w:tcPr>
            <w:tcW w:w="567" w:type="dxa"/>
            <w:vAlign w:val="center"/>
          </w:tcPr>
          <w:p>
            <w:pPr>
              <w:adjustRightInd w:val="0"/>
              <w:snapToGrid w:val="0"/>
              <w:jc w:val="center"/>
              <w:rPr>
                <w:rFonts w:asciiTheme="minorEastAsia" w:hAnsiTheme="minorEastAsia"/>
                <w:color w:val="auto"/>
                <w:szCs w:val="21"/>
              </w:rPr>
            </w:pPr>
            <w:r>
              <w:rPr>
                <w:rFonts w:hint="eastAsia" w:asciiTheme="minorEastAsia" w:hAnsiTheme="minorEastAsia"/>
                <w:color w:val="auto"/>
                <w:szCs w:val="21"/>
              </w:rPr>
              <w:t>4</w:t>
            </w:r>
          </w:p>
        </w:tc>
        <w:tc>
          <w:tcPr>
            <w:tcW w:w="882" w:type="dxa"/>
            <w:vAlign w:val="center"/>
          </w:tcPr>
          <w:p>
            <w:pPr>
              <w:widowControl/>
              <w:spacing w:before="31" w:beforeLines="10" w:after="31" w:afterLines="10"/>
              <w:jc w:val="center"/>
              <w:rPr>
                <w:rFonts w:ascii="宋体" w:hAnsi="宋体" w:cs="宋体"/>
                <w:color w:val="auto"/>
                <w:kern w:val="0"/>
                <w:sz w:val="22"/>
              </w:rPr>
            </w:pPr>
            <w:r>
              <w:rPr>
                <w:rFonts w:ascii="宋体" w:hAnsi="宋体" w:cs="宋体"/>
                <w:color w:val="auto"/>
                <w:kern w:val="0"/>
                <w:sz w:val="22"/>
              </w:rPr>
              <w:t>套</w:t>
            </w:r>
          </w:p>
        </w:tc>
      </w:tr>
    </w:tbl>
    <w:p>
      <w:pPr>
        <w:widowControl/>
        <w:jc w:val="left"/>
        <w:rPr>
          <w:rFonts w:ascii="宋体" w:hAnsi="宋体"/>
          <w:b/>
          <w:bCs/>
          <w:color w:val="auto"/>
          <w:sz w:val="28"/>
          <w:szCs w:val="28"/>
        </w:rPr>
      </w:pPr>
      <w:r>
        <w:rPr>
          <w:rFonts w:ascii="宋体" w:hAnsi="宋体"/>
          <w:b/>
          <w:bCs/>
          <w:color w:val="auto"/>
          <w:sz w:val="28"/>
          <w:szCs w:val="28"/>
        </w:rPr>
        <w:br w:type="page"/>
      </w:r>
    </w:p>
    <w:p>
      <w:pPr>
        <w:rPr>
          <w:rFonts w:ascii="宋体" w:hAnsi="宋体"/>
          <w:b/>
          <w:color w:val="auto"/>
          <w:sz w:val="28"/>
          <w:szCs w:val="28"/>
        </w:rPr>
      </w:pPr>
      <w:r>
        <w:rPr>
          <w:rFonts w:hint="eastAsia" w:ascii="Times New Roman" w:hAnsi="Times New Roman"/>
          <w:b/>
          <w:color w:val="auto"/>
          <w:sz w:val="28"/>
          <w:szCs w:val="28"/>
        </w:rPr>
        <w:t>A.</w:t>
      </w:r>
      <w:r>
        <w:rPr>
          <w:rFonts w:ascii="Times New Roman" w:hAnsi="Times New Roman"/>
          <w:b/>
          <w:color w:val="auto"/>
          <w:sz w:val="28"/>
          <w:szCs w:val="28"/>
        </w:rPr>
        <w:t>2</w:t>
      </w:r>
      <w:r>
        <w:rPr>
          <w:rFonts w:hint="eastAsia" w:ascii="Times New Roman" w:hAnsi="Times New Roman"/>
          <w:b/>
          <w:color w:val="auto"/>
          <w:sz w:val="28"/>
          <w:szCs w:val="28"/>
        </w:rPr>
        <w:t xml:space="preserve"> </w:t>
      </w:r>
      <w:r>
        <w:rPr>
          <w:rFonts w:hint="eastAsia" w:ascii="宋体" w:hAnsi="宋体"/>
          <w:b/>
          <w:bCs/>
          <w:color w:val="auto"/>
          <w:sz w:val="28"/>
          <w:szCs w:val="28"/>
        </w:rPr>
        <w:t>投</w:t>
      </w:r>
      <w:r>
        <w:rPr>
          <w:rFonts w:hint="eastAsia"/>
          <w:b/>
          <w:color w:val="auto"/>
          <w:sz w:val="28"/>
          <w:szCs w:val="28"/>
        </w:rPr>
        <w:t>标要求</w:t>
      </w:r>
      <w:r>
        <w:rPr>
          <w:rFonts w:hint="eastAsia" w:ascii="宋体" w:hAnsi="宋体"/>
          <w:color w:val="auto"/>
          <w:szCs w:val="21"/>
        </w:rPr>
        <w:t>（</w:t>
      </w:r>
      <w:r>
        <w:rPr>
          <w:rFonts w:hint="eastAsia" w:ascii="宋体" w:hAnsi="宋体"/>
          <w:b/>
          <w:color w:val="auto"/>
          <w:szCs w:val="21"/>
        </w:rPr>
        <w:t>★</w:t>
      </w:r>
      <w:r>
        <w:rPr>
          <w:rFonts w:hint="eastAsia" w:ascii="宋体" w:hAnsi="宋体"/>
          <w:color w:val="auto"/>
          <w:szCs w:val="21"/>
        </w:rPr>
        <w:t>条款必须满足，如有偏离，视为未实质性响应招标要求）</w:t>
      </w:r>
    </w:p>
    <w:p>
      <w:pPr>
        <w:autoSpaceDE w:val="0"/>
        <w:autoSpaceDN w:val="0"/>
        <w:adjustRightInd w:val="0"/>
        <w:snapToGrid w:val="0"/>
        <w:spacing w:line="360" w:lineRule="auto"/>
        <w:ind w:left="315" w:leftChars="150" w:right="210" w:rightChars="100" w:firstLine="422" w:firstLineChars="200"/>
        <w:rPr>
          <w:rFonts w:ascii="宋体" w:hAnsi="宋体"/>
          <w:color w:val="auto"/>
          <w:szCs w:val="21"/>
        </w:rPr>
      </w:pPr>
      <w:r>
        <w:rPr>
          <w:rFonts w:hint="eastAsia" w:ascii="宋体" w:hAnsi="宋体"/>
          <w:b/>
          <w:color w:val="auto"/>
          <w:szCs w:val="21"/>
        </w:rPr>
        <w:t>2.1★产品国际质量认证</w:t>
      </w:r>
      <w:r>
        <w:rPr>
          <w:rFonts w:hint="eastAsia" w:ascii="宋体" w:hAnsi="宋体"/>
          <w:color w:val="auto"/>
          <w:szCs w:val="21"/>
        </w:rPr>
        <w:t>：产品的设计、生产、安装和服务等须通过ISO 9001:2008国际质量管理体系认证，符合国际标准，提供相关证明材料。出具生产厂家的产品CCC认证及生产许可证，提供相关证明材料。</w:t>
      </w:r>
    </w:p>
    <w:p>
      <w:pPr>
        <w:pStyle w:val="12"/>
        <w:autoSpaceDE w:val="0"/>
        <w:autoSpaceDN w:val="0"/>
        <w:adjustRightInd w:val="0"/>
        <w:snapToGrid w:val="0"/>
        <w:spacing w:line="360" w:lineRule="auto"/>
        <w:ind w:left="357" w:right="210" w:rightChars="100" w:firstLine="422"/>
        <w:rPr>
          <w:rFonts w:ascii="宋体" w:hAnsi="宋体"/>
          <w:color w:val="auto"/>
          <w:szCs w:val="21"/>
        </w:rPr>
      </w:pPr>
      <w:r>
        <w:rPr>
          <w:rFonts w:hint="eastAsia" w:ascii="宋体" w:hAnsi="宋体"/>
          <w:b/>
          <w:color w:val="auto"/>
          <w:szCs w:val="21"/>
        </w:rPr>
        <w:t>2.2自主知识产权</w:t>
      </w:r>
      <w:r>
        <w:rPr>
          <w:rFonts w:hint="eastAsia" w:ascii="宋体" w:hAnsi="宋体"/>
          <w:color w:val="auto"/>
          <w:szCs w:val="21"/>
        </w:rPr>
        <w:t>：具有独立的专业化听力教学平台、口语教学平台、阅读教学平台、口译教学平台、协作式互动教学平台、自学辅导教学平台、技能训练平台、口语考试平台、标准化考试平台、基础平台等，包含外语教学中的上课、自学、训练、考试等各环节的应用，是外语教学的整体解决方案。各软件平台须拥有自主知识产权，分别具有国家版权局颁发的“计算机软件著作权登记证书”，提供相关证明材料。</w:t>
      </w:r>
    </w:p>
    <w:p>
      <w:pPr>
        <w:pStyle w:val="12"/>
        <w:autoSpaceDE w:val="0"/>
        <w:autoSpaceDN w:val="0"/>
        <w:adjustRightInd w:val="0"/>
        <w:snapToGrid w:val="0"/>
        <w:spacing w:line="360" w:lineRule="auto"/>
        <w:ind w:left="357" w:right="210" w:rightChars="100" w:firstLine="422"/>
        <w:rPr>
          <w:rFonts w:ascii="宋体" w:hAnsi="宋体"/>
          <w:color w:val="auto"/>
          <w:szCs w:val="21"/>
        </w:rPr>
      </w:pPr>
      <w:r>
        <w:rPr>
          <w:rFonts w:hint="eastAsia" w:ascii="宋体" w:hAnsi="宋体"/>
          <w:b/>
          <w:color w:val="auto"/>
          <w:szCs w:val="21"/>
        </w:rPr>
        <w:t>2.3★产品化程度</w:t>
      </w:r>
      <w:r>
        <w:rPr>
          <w:rFonts w:hint="eastAsia" w:ascii="宋体" w:hAnsi="宋体"/>
          <w:color w:val="auto"/>
          <w:szCs w:val="21"/>
        </w:rPr>
        <w:t>：所提供的以上十个平台软件的操作方式统一，资源、信息、数据能够实现共享。所有平台软件皆为同一品牌，为保证系统的稳定性、兼容性以及提供服务的便利性，所投语音系统主要设备（同步传输主卡、同步传输交换机、语言学习终端、多媒体控制平台、以太网交换机、耳机话筒组）为同一品牌。</w:t>
      </w:r>
    </w:p>
    <w:p>
      <w:pPr>
        <w:pStyle w:val="12"/>
        <w:autoSpaceDE w:val="0"/>
        <w:autoSpaceDN w:val="0"/>
        <w:adjustRightInd w:val="0"/>
        <w:snapToGrid w:val="0"/>
        <w:spacing w:line="360" w:lineRule="auto"/>
        <w:ind w:left="357" w:right="210" w:rightChars="100" w:firstLine="422"/>
        <w:rPr>
          <w:rFonts w:ascii="宋体" w:hAnsi="宋体"/>
          <w:color w:val="auto"/>
          <w:szCs w:val="21"/>
        </w:rPr>
      </w:pPr>
      <w:r>
        <w:rPr>
          <w:rFonts w:hint="eastAsia" w:ascii="宋体" w:hAnsi="宋体"/>
          <w:b/>
          <w:color w:val="auto"/>
          <w:szCs w:val="21"/>
        </w:rPr>
        <w:t>2.4满足网络化教学要求：</w:t>
      </w:r>
      <w:r>
        <w:rPr>
          <w:rFonts w:hint="eastAsia" w:ascii="宋体" w:hAnsi="宋体"/>
          <w:bCs/>
          <w:color w:val="auto"/>
          <w:szCs w:val="21"/>
        </w:rPr>
        <w:t>语言实验室中的课堂教学系统、资源管理系统、用户信息管理系统须与学校的校园网语言学科平台无缝对接，实现各信息、数据、资源的统一和共享，满足学校网络化教学要求。</w:t>
      </w:r>
    </w:p>
    <w:p>
      <w:pPr>
        <w:pStyle w:val="12"/>
        <w:autoSpaceDE w:val="0"/>
        <w:autoSpaceDN w:val="0"/>
        <w:adjustRightInd w:val="0"/>
        <w:snapToGrid w:val="0"/>
        <w:spacing w:line="360" w:lineRule="auto"/>
        <w:ind w:left="357" w:right="210" w:rightChars="100" w:firstLine="422"/>
        <w:rPr>
          <w:rFonts w:ascii="宋体" w:hAnsi="宋体" w:cs="TimesNewRomanPSMT"/>
          <w:color w:val="auto"/>
          <w:kern w:val="0"/>
          <w:szCs w:val="21"/>
        </w:rPr>
      </w:pPr>
      <w:r>
        <w:rPr>
          <w:rFonts w:hint="eastAsia" w:ascii="宋体" w:hAnsi="宋体"/>
          <w:b/>
          <w:color w:val="auto"/>
          <w:szCs w:val="21"/>
        </w:rPr>
        <w:t>2.5高保真音质要求：</w:t>
      </w:r>
      <w:r>
        <w:rPr>
          <w:rFonts w:hint="eastAsia" w:ascii="宋体" w:hAnsi="宋体"/>
          <w:color w:val="auto"/>
          <w:szCs w:val="21"/>
        </w:rPr>
        <w:t>在以太网的基础上，采用相应的同步传输、实时传输技术，以解决普通以太网技术下语音信号传输延迟、断裂的问题，</w:t>
      </w:r>
      <w:r>
        <w:rPr>
          <w:rFonts w:hint="eastAsia" w:ascii="宋体" w:hAnsi="宋体" w:cs="TimesNewRomanPSMT"/>
          <w:color w:val="auto"/>
          <w:kern w:val="0"/>
          <w:szCs w:val="21"/>
        </w:rPr>
        <w:t>达到语音质量高保真要求。</w:t>
      </w:r>
    </w:p>
    <w:p>
      <w:pPr>
        <w:pStyle w:val="12"/>
        <w:autoSpaceDE w:val="0"/>
        <w:autoSpaceDN w:val="0"/>
        <w:adjustRightInd w:val="0"/>
        <w:snapToGrid w:val="0"/>
        <w:spacing w:line="360" w:lineRule="auto"/>
        <w:ind w:left="357" w:right="210" w:rightChars="100" w:firstLine="422"/>
        <w:rPr>
          <w:rFonts w:ascii="宋体" w:hAnsi="宋体"/>
          <w:b/>
          <w:color w:val="auto"/>
          <w:szCs w:val="21"/>
        </w:rPr>
      </w:pPr>
      <w:r>
        <w:rPr>
          <w:rFonts w:hint="eastAsia" w:ascii="宋体" w:hAnsi="宋体"/>
          <w:b/>
          <w:color w:val="auto"/>
          <w:szCs w:val="21"/>
        </w:rPr>
        <w:t>2.6★口语智能评估要求：</w:t>
      </w:r>
      <w:r>
        <w:rPr>
          <w:rFonts w:hint="eastAsia" w:ascii="宋体" w:hAnsi="宋体"/>
          <w:color w:val="auto"/>
          <w:szCs w:val="21"/>
        </w:rPr>
        <w:t>采用先进的语音评测技术和自然语言处理技术，支持语言的全方位智能分析，覆盖基本音素、音节、字词、句子以及段落各个范围，覆盖语调、声调、流利程度、母语程度等各个评估维度。评估结果分为优秀、良好、及格、待及格等层次。训练结束后，可看到每位学生的跟读详情，包括每一句的真实录音和评估结果，对规范学生发音提供科学指导。</w:t>
      </w:r>
    </w:p>
    <w:p>
      <w:pPr>
        <w:pStyle w:val="12"/>
        <w:autoSpaceDE w:val="0"/>
        <w:autoSpaceDN w:val="0"/>
        <w:adjustRightInd w:val="0"/>
        <w:snapToGrid w:val="0"/>
        <w:spacing w:line="360" w:lineRule="auto"/>
        <w:ind w:left="357" w:right="210" w:rightChars="100" w:firstLine="422"/>
        <w:rPr>
          <w:rFonts w:ascii="宋体" w:hAnsi="宋体"/>
          <w:b/>
          <w:color w:val="auto"/>
          <w:szCs w:val="21"/>
        </w:rPr>
      </w:pPr>
      <w:r>
        <w:rPr>
          <w:rFonts w:hint="eastAsia" w:ascii="宋体" w:hAnsi="宋体"/>
          <w:b/>
          <w:color w:val="auto"/>
          <w:szCs w:val="21"/>
        </w:rPr>
        <w:t>2.7★系统构建要求：</w:t>
      </w:r>
      <w:r>
        <w:rPr>
          <w:rFonts w:hint="eastAsia" w:ascii="宋体" w:hAnsi="宋体"/>
          <w:color w:val="auto"/>
          <w:szCs w:val="21"/>
        </w:rPr>
        <w:t>每个学生端采用标准计算机+内置插卡的设计，在不更改电脑室网络布线的情况下，插卡即完成普通电脑室改造升级成专业语言实验室，不接收纯软方案。</w:t>
      </w:r>
    </w:p>
    <w:p>
      <w:pPr>
        <w:pStyle w:val="12"/>
        <w:autoSpaceDE w:val="0"/>
        <w:autoSpaceDN w:val="0"/>
        <w:adjustRightInd w:val="0"/>
        <w:snapToGrid w:val="0"/>
        <w:spacing w:line="360" w:lineRule="auto"/>
        <w:ind w:left="357" w:right="210" w:rightChars="100" w:firstLine="422"/>
        <w:rPr>
          <w:rFonts w:ascii="宋体" w:hAnsi="宋体"/>
          <w:color w:val="auto"/>
          <w:szCs w:val="21"/>
        </w:rPr>
      </w:pPr>
      <w:r>
        <w:rPr>
          <w:rFonts w:hint="eastAsia" w:ascii="宋体" w:hAnsi="宋体"/>
          <w:b/>
          <w:color w:val="auto"/>
          <w:szCs w:val="21"/>
        </w:rPr>
        <w:t>2.8★产品功能要求：</w:t>
      </w:r>
      <w:r>
        <w:rPr>
          <w:rFonts w:hint="eastAsia" w:ascii="宋体" w:hAnsi="宋体"/>
          <w:color w:val="auto"/>
          <w:szCs w:val="21"/>
        </w:rPr>
        <w:t>产品具有招标文件的“先进功能”，以满足用户实际教学需求；各平台及各功能模式具有权威机构出具的 “软件产品登记测试报告”。</w:t>
      </w:r>
    </w:p>
    <w:p>
      <w:pPr>
        <w:pStyle w:val="12"/>
        <w:autoSpaceDE w:val="0"/>
        <w:autoSpaceDN w:val="0"/>
        <w:adjustRightInd w:val="0"/>
        <w:snapToGrid w:val="0"/>
        <w:spacing w:line="360" w:lineRule="auto"/>
        <w:ind w:left="357" w:right="210" w:rightChars="100" w:firstLine="422"/>
        <w:rPr>
          <w:rFonts w:ascii="宋体" w:hAnsi="宋体"/>
          <w:color w:val="auto"/>
          <w:szCs w:val="21"/>
        </w:rPr>
      </w:pPr>
      <w:r>
        <w:rPr>
          <w:rFonts w:hint="eastAsia" w:ascii="宋体" w:hAnsi="宋体"/>
          <w:b/>
          <w:color w:val="auto"/>
          <w:szCs w:val="21"/>
        </w:rPr>
        <w:t>2.9</w:t>
      </w:r>
      <w:r>
        <w:rPr>
          <w:rFonts w:hint="eastAsia" w:ascii="宋体" w:hAnsi="宋体"/>
          <w:color w:val="auto"/>
          <w:szCs w:val="21"/>
        </w:rPr>
        <w:t>投标单位所投产品应能够至少达到以上技术参数要求，同时明确所投产品的品牌、型号、规格和外形、尺寸及一些必须说明的技术参数，以及设备配置清单，并提供详细的技术参数及性能说明书。投标方提供的所有设备必须为合格产品，质量符合国际或国家通用标准，先进可靠,操作简单,便于维护。如出现质量问题或系假冒伪劣产品，投标方负责包退、包换，发生的费用由投标方负责。</w:t>
      </w:r>
    </w:p>
    <w:p>
      <w:pPr>
        <w:pStyle w:val="12"/>
        <w:autoSpaceDE w:val="0"/>
        <w:autoSpaceDN w:val="0"/>
        <w:adjustRightInd w:val="0"/>
        <w:snapToGrid w:val="0"/>
        <w:spacing w:line="360" w:lineRule="auto"/>
        <w:ind w:left="357" w:right="210" w:rightChars="100" w:firstLine="422"/>
        <w:rPr>
          <w:rFonts w:ascii="宋体" w:hAnsi="宋体"/>
          <w:color w:val="auto"/>
          <w:szCs w:val="21"/>
        </w:rPr>
      </w:pPr>
      <w:r>
        <w:rPr>
          <w:rFonts w:hint="eastAsia" w:ascii="宋体" w:hAnsi="宋体"/>
          <w:b/>
          <w:color w:val="auto"/>
          <w:szCs w:val="21"/>
        </w:rPr>
        <w:t>2.10</w:t>
      </w:r>
      <w:r>
        <w:rPr>
          <w:rFonts w:hint="eastAsia" w:ascii="宋体" w:hAnsi="宋体"/>
          <w:color w:val="auto"/>
          <w:szCs w:val="21"/>
        </w:rPr>
        <w:t>投标单位必须承诺招标文件中提出的全部技术规格与要求，如果以其中某些条款不响应时，应在文件中逐条列出，未列出的视同响应。</w:t>
      </w:r>
    </w:p>
    <w:p>
      <w:pPr>
        <w:pStyle w:val="12"/>
        <w:autoSpaceDE w:val="0"/>
        <w:autoSpaceDN w:val="0"/>
        <w:adjustRightInd w:val="0"/>
        <w:snapToGrid w:val="0"/>
        <w:spacing w:line="360" w:lineRule="auto"/>
        <w:ind w:left="357" w:right="210" w:rightChars="100" w:firstLine="422"/>
        <w:rPr>
          <w:rFonts w:ascii="宋体" w:hAnsi="宋体"/>
          <w:color w:val="auto"/>
          <w:szCs w:val="21"/>
        </w:rPr>
      </w:pPr>
      <w:r>
        <w:rPr>
          <w:rFonts w:hint="eastAsia" w:ascii="宋体" w:hAnsi="宋体"/>
          <w:b/>
          <w:color w:val="auto"/>
          <w:szCs w:val="21"/>
        </w:rPr>
        <w:t>2.11</w:t>
      </w:r>
      <w:r>
        <w:rPr>
          <w:rFonts w:hint="eastAsia" w:ascii="宋体" w:hAnsi="宋体"/>
          <w:color w:val="auto"/>
          <w:szCs w:val="21"/>
        </w:rPr>
        <w:t>投标单位须保证对学校有关师生的技术的培训，培训方案要求具备完整的人员培训的目标、对象、培训方法等，培训费用由中标单位承担。</w:t>
      </w:r>
    </w:p>
    <w:p>
      <w:pPr>
        <w:pStyle w:val="12"/>
        <w:autoSpaceDE w:val="0"/>
        <w:autoSpaceDN w:val="0"/>
        <w:adjustRightInd w:val="0"/>
        <w:snapToGrid w:val="0"/>
        <w:spacing w:line="360" w:lineRule="auto"/>
        <w:ind w:left="357" w:right="210" w:rightChars="100" w:firstLine="422"/>
        <w:rPr>
          <w:rFonts w:ascii="宋体" w:hAnsi="宋体"/>
          <w:b/>
          <w:color w:val="auto"/>
          <w:szCs w:val="21"/>
        </w:rPr>
      </w:pPr>
      <w:r>
        <w:rPr>
          <w:rFonts w:hint="eastAsia" w:ascii="宋体" w:hAnsi="宋体"/>
          <w:b/>
          <w:color w:val="auto"/>
          <w:szCs w:val="21"/>
        </w:rPr>
        <w:t>2.12★</w:t>
      </w:r>
      <w:r>
        <w:rPr>
          <w:rFonts w:hint="eastAsia" w:ascii="宋体" w:hAnsi="宋体"/>
          <w:color w:val="auto"/>
          <w:szCs w:val="21"/>
        </w:rPr>
        <w:t>投标单位在徐州地区应有专门的维护部门，不少于1名现场经验丰富的维护技术人员，投标单位建立有完善的售后服务制度和良好的用户服务记录。</w:t>
      </w:r>
    </w:p>
    <w:p>
      <w:pPr>
        <w:widowControl/>
        <w:shd w:val="clear" w:color="auto" w:fill="FFFFFF"/>
        <w:spacing w:before="100" w:beforeAutospacing="1" w:after="100" w:afterAutospacing="1"/>
        <w:ind w:left="425" w:hanging="425"/>
        <w:jc w:val="left"/>
        <w:rPr>
          <w:rFonts w:ascii="Times New Roman" w:hAnsi="Times New Roman"/>
          <w:b/>
          <w:color w:val="auto"/>
          <w:sz w:val="28"/>
          <w:szCs w:val="28"/>
        </w:rPr>
      </w:pPr>
      <w:r>
        <w:rPr>
          <w:rFonts w:ascii="Times New Roman" w:hAnsi="Times New Roman"/>
          <w:b/>
          <w:color w:val="auto"/>
          <w:sz w:val="28"/>
          <w:szCs w:val="28"/>
        </w:rPr>
        <w:t>A.</w:t>
      </w:r>
      <w:r>
        <w:rPr>
          <w:rFonts w:hint="eastAsia" w:ascii="Times New Roman" w:hAnsi="Times New Roman"/>
          <w:b/>
          <w:color w:val="auto"/>
          <w:sz w:val="28"/>
          <w:szCs w:val="28"/>
        </w:rPr>
        <w:t>3 售后技术服务</w:t>
      </w:r>
    </w:p>
    <w:p>
      <w:pPr>
        <w:pStyle w:val="12"/>
        <w:autoSpaceDE w:val="0"/>
        <w:autoSpaceDN w:val="0"/>
        <w:adjustRightInd w:val="0"/>
        <w:snapToGrid w:val="0"/>
        <w:spacing w:line="360" w:lineRule="auto"/>
        <w:ind w:left="357" w:right="210" w:rightChars="100" w:firstLine="422"/>
        <w:rPr>
          <w:rFonts w:ascii="宋体" w:hAnsi="宋体" w:cs="宋体"/>
          <w:color w:val="auto"/>
          <w:kern w:val="0"/>
          <w:sz w:val="27"/>
          <w:szCs w:val="27"/>
        </w:rPr>
      </w:pPr>
      <w:r>
        <w:rPr>
          <w:rFonts w:hint="eastAsia" w:ascii="宋体" w:hAnsi="宋体"/>
          <w:b/>
          <w:color w:val="auto"/>
          <w:szCs w:val="21"/>
        </w:rPr>
        <w:t>3.1★原厂授权：</w:t>
      </w:r>
      <w:r>
        <w:rPr>
          <w:rFonts w:hint="eastAsia" w:ascii="宋体" w:hAnsi="宋体"/>
          <w:color w:val="auto"/>
          <w:szCs w:val="21"/>
        </w:rPr>
        <w:t>提供所投标语音室产品原厂授权及三年的原厂免费质保函，并备注产品的生命周期，保证在产品的生命周期内，有充足的备件保证设备维修使用，同时注明软件的免费升级期限及永久使用。</w:t>
      </w:r>
    </w:p>
    <w:p>
      <w:pPr>
        <w:pStyle w:val="12"/>
        <w:autoSpaceDE w:val="0"/>
        <w:autoSpaceDN w:val="0"/>
        <w:adjustRightInd w:val="0"/>
        <w:snapToGrid w:val="0"/>
        <w:spacing w:line="360" w:lineRule="auto"/>
        <w:ind w:left="357" w:right="210" w:rightChars="100"/>
        <w:rPr>
          <w:rFonts w:ascii="宋体" w:hAnsi="宋体"/>
          <w:color w:val="auto"/>
          <w:szCs w:val="21"/>
        </w:rPr>
      </w:pPr>
      <w:r>
        <w:rPr>
          <w:rFonts w:hint="eastAsia" w:ascii="宋体" w:hAnsi="宋体"/>
          <w:color w:val="auto"/>
          <w:szCs w:val="21"/>
        </w:rPr>
        <w:t>3.2备件供应：使用的所有备品备件及耗材，列出清单。保修期内，提供免费的维修、更换损坏零部件及技术咨询服务；在保修期结束后以优惠价格提供备品配件。操作软件免费升级。</w:t>
      </w:r>
    </w:p>
    <w:p>
      <w:pPr>
        <w:pStyle w:val="12"/>
        <w:autoSpaceDE w:val="0"/>
        <w:autoSpaceDN w:val="0"/>
        <w:adjustRightInd w:val="0"/>
        <w:snapToGrid w:val="0"/>
        <w:spacing w:line="360" w:lineRule="auto"/>
        <w:ind w:left="357" w:right="210" w:rightChars="100"/>
        <w:rPr>
          <w:rFonts w:ascii="宋体" w:hAnsi="宋体"/>
          <w:color w:val="auto"/>
          <w:szCs w:val="21"/>
        </w:rPr>
      </w:pPr>
      <w:r>
        <w:rPr>
          <w:rFonts w:hint="eastAsia" w:ascii="宋体" w:hAnsi="宋体"/>
          <w:color w:val="auto"/>
          <w:szCs w:val="21"/>
        </w:rPr>
        <w:t>3.3技术服务：提供快捷、周到、规范的技术服务，设备出现故障时，供货或服务商维修人员在接到通知后24小时内响应，48小时内到现场维修。提供仪器设备详细的中文操作手册。</w:t>
      </w:r>
    </w:p>
    <w:p>
      <w:pPr>
        <w:widowControl/>
        <w:shd w:val="clear" w:color="auto" w:fill="FFFFFF"/>
        <w:spacing w:before="100" w:beforeAutospacing="1" w:after="100" w:afterAutospacing="1"/>
        <w:ind w:left="850" w:hanging="453"/>
        <w:jc w:val="left"/>
        <w:rPr>
          <w:rFonts w:ascii="宋体" w:hAnsi="宋体"/>
          <w:b/>
          <w:color w:val="auto"/>
          <w:sz w:val="28"/>
          <w:szCs w:val="28"/>
        </w:rPr>
      </w:pPr>
    </w:p>
    <w:p>
      <w:pPr>
        <w:jc w:val="center"/>
        <w:rPr>
          <w:b/>
          <w:color w:val="auto"/>
          <w:sz w:val="48"/>
          <w:szCs w:val="48"/>
        </w:rPr>
        <w:sectPr>
          <w:pgSz w:w="16838" w:h="11906" w:orient="landscape"/>
          <w:pgMar w:top="1134" w:right="1134" w:bottom="1134" w:left="1134" w:header="851" w:footer="992" w:gutter="0"/>
          <w:cols w:space="425" w:num="1"/>
          <w:docGrid w:type="lines" w:linePitch="312" w:charSpace="0"/>
        </w:sectPr>
      </w:pPr>
    </w:p>
    <w:p>
      <w:pPr>
        <w:jc w:val="center"/>
        <w:rPr>
          <w:b/>
          <w:color w:val="auto"/>
          <w:sz w:val="48"/>
          <w:szCs w:val="4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r>
        <w:rPr>
          <w:rFonts w:hint="eastAsia"/>
          <w:color w:val="auto"/>
          <w:sz w:val="28"/>
          <w:u w:val="single"/>
        </w:rPr>
        <w:t xml:space="preserve">                      </w:t>
      </w:r>
      <w:r>
        <w:rPr>
          <w:rFonts w:hint="eastAsia"/>
          <w:color w:val="auto"/>
          <w:sz w:val="28"/>
        </w:rPr>
        <w:t>：</w:t>
      </w:r>
    </w:p>
    <w:p>
      <w:pPr>
        <w:tabs>
          <w:tab w:val="left" w:pos="990"/>
        </w:tabs>
        <w:spacing w:line="360" w:lineRule="auto"/>
        <w:ind w:firstLine="570"/>
        <w:rPr>
          <w:color w:val="auto"/>
          <w:sz w:val="28"/>
        </w:rPr>
      </w:pPr>
      <w:r>
        <w:rPr>
          <w:rFonts w:hint="eastAsia"/>
          <w:color w:val="auto"/>
          <w:sz w:val="28"/>
        </w:rPr>
        <w:t>一、根据已收到的江苏建筑职业技术学院</w:t>
      </w:r>
      <w:r>
        <w:rPr>
          <w:rFonts w:hint="eastAsia"/>
          <w:color w:val="auto"/>
          <w:sz w:val="28"/>
          <w:u w:val="single"/>
        </w:rPr>
        <w:t xml:space="preserve">                 </w:t>
      </w:r>
      <w:r>
        <w:rPr>
          <w:rFonts w:hint="eastAsia"/>
          <w:color w:val="auto"/>
          <w:sz w:val="28"/>
        </w:rPr>
        <w:t>招标文件，遵照有关规定，我单位研究招标文件后，认可招标文件全部内容。愿意按照所附投标报价单报价，按招标文件的要求承担本次招标范围内的工作。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r>
        <w:rPr>
          <w:rFonts w:hint="eastAsia"/>
          <w:color w:val="auto"/>
        </w:rPr>
        <w:br w:type="page"/>
      </w: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r>
        <w:rPr>
          <w:rFonts w:hint="eastAsia"/>
          <w:color w:val="auto"/>
          <w:sz w:val="28"/>
        </w:rPr>
        <w:t xml:space="preserve"> </w:t>
      </w:r>
    </w:p>
    <w:p>
      <w:pPr>
        <w:tabs>
          <w:tab w:val="left" w:pos="990"/>
        </w:tabs>
        <w:spacing w:line="360" w:lineRule="auto"/>
        <w:ind w:firstLine="570"/>
        <w:rPr>
          <w:color w:val="auto"/>
          <w:sz w:val="28"/>
          <w:u w:val="single"/>
        </w:rPr>
      </w:pPr>
      <w:r>
        <w:rPr>
          <w:rFonts w:hint="eastAsia"/>
          <w:color w:val="auto"/>
          <w:sz w:val="28"/>
        </w:rPr>
        <w:t>本授权委托书声明：我</w:t>
      </w:r>
      <w:r>
        <w:rPr>
          <w:rFonts w:hint="eastAsia"/>
          <w:color w:val="auto"/>
          <w:sz w:val="28"/>
          <w:u w:val="single"/>
        </w:rPr>
        <w:t xml:space="preserve">            </w:t>
      </w:r>
      <w:r>
        <w:rPr>
          <w:rFonts w:hint="eastAsia"/>
          <w:color w:val="auto"/>
          <w:sz w:val="28"/>
        </w:rPr>
        <w:t>（姓名），系</w:t>
      </w:r>
      <w:r>
        <w:rPr>
          <w:rFonts w:hint="eastAsia"/>
          <w:color w:val="auto"/>
          <w:sz w:val="28"/>
          <w:u w:val="single"/>
        </w:rPr>
        <w:t xml:space="preserve">           </w:t>
      </w:r>
    </w:p>
    <w:p>
      <w:pPr>
        <w:tabs>
          <w:tab w:val="left" w:pos="990"/>
        </w:tabs>
        <w:spacing w:line="360" w:lineRule="auto"/>
        <w:rPr>
          <w:color w:val="auto"/>
          <w:sz w:val="28"/>
        </w:rPr>
      </w:pPr>
      <w:r>
        <w:rPr>
          <w:rFonts w:hint="eastAsia"/>
          <w:color w:val="auto"/>
          <w:sz w:val="28"/>
          <w:u w:val="single"/>
        </w:rPr>
        <w:t xml:space="preserve">                           </w:t>
      </w:r>
      <w:r>
        <w:rPr>
          <w:rFonts w:hint="eastAsia"/>
          <w:color w:val="auto"/>
          <w:sz w:val="28"/>
        </w:rPr>
        <w:t>（投标人名称）的法定代表人，现授权委托</w:t>
      </w:r>
      <w:r>
        <w:rPr>
          <w:rFonts w:hint="eastAsia"/>
          <w:color w:val="auto"/>
          <w:sz w:val="28"/>
          <w:u w:val="single"/>
        </w:rPr>
        <w:t xml:space="preserve">                             </w:t>
      </w:r>
      <w:r>
        <w:rPr>
          <w:rFonts w:hint="eastAsia"/>
          <w:color w:val="auto"/>
          <w:sz w:val="28"/>
        </w:rPr>
        <w:t>（单位名称）</w:t>
      </w:r>
      <w:r>
        <w:rPr>
          <w:rFonts w:hint="eastAsia"/>
          <w:color w:val="auto"/>
          <w:sz w:val="28"/>
          <w:u w:val="single"/>
        </w:rPr>
        <w:t xml:space="preserve">         </w:t>
      </w:r>
      <w:r>
        <w:rPr>
          <w:rFonts w:hint="eastAsia"/>
          <w:color w:val="auto"/>
          <w:sz w:val="28"/>
        </w:rPr>
        <w:t>（姓名）为本单位的代理人，以本单位的名义参加江苏建筑职业技术学院</w:t>
      </w:r>
      <w:r>
        <w:rPr>
          <w:rFonts w:hint="eastAsia"/>
          <w:color w:val="auto"/>
          <w:sz w:val="28"/>
          <w:u w:val="single"/>
        </w:rPr>
        <w:t xml:space="preserve">                 </w:t>
      </w:r>
      <w:r>
        <w:rPr>
          <w:rFonts w:hint="eastAsia"/>
          <w:color w:val="auto"/>
          <w:sz w:val="28"/>
        </w:rPr>
        <w:t>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w:t>
      </w:r>
      <w:r>
        <w:rPr>
          <w:rFonts w:hint="eastAsia"/>
          <w:color w:val="auto"/>
          <w:sz w:val="28"/>
          <w:u w:val="single"/>
        </w:rPr>
        <w:t xml:space="preserve">          </w:t>
      </w:r>
      <w:r>
        <w:rPr>
          <w:rFonts w:hint="eastAsia"/>
          <w:color w:val="auto"/>
          <w:sz w:val="28"/>
        </w:rPr>
        <w:t>性别：</w:t>
      </w:r>
      <w:r>
        <w:rPr>
          <w:rFonts w:hint="eastAsia"/>
          <w:color w:val="auto"/>
          <w:sz w:val="28"/>
          <w:u w:val="single"/>
        </w:rPr>
        <w:t xml:space="preserve">     </w:t>
      </w:r>
      <w:r>
        <w:rPr>
          <w:rFonts w:hint="eastAsia"/>
          <w:color w:val="auto"/>
          <w:sz w:val="28"/>
        </w:rPr>
        <w:t xml:space="preserve"> 身份证号码</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单位：</w:t>
      </w:r>
      <w:r>
        <w:rPr>
          <w:rFonts w:hint="eastAsia"/>
          <w:color w:val="auto"/>
          <w:sz w:val="28"/>
          <w:u w:val="single"/>
        </w:rPr>
        <w:t xml:space="preserve">                   </w:t>
      </w:r>
      <w:r>
        <w:rPr>
          <w:rFonts w:hint="eastAsia"/>
          <w:color w:val="auto"/>
          <w:sz w:val="28"/>
        </w:rPr>
        <w:t xml:space="preserve"> 部门：</w:t>
      </w:r>
      <w:r>
        <w:rPr>
          <w:rFonts w:hint="eastAsia"/>
          <w:color w:val="auto"/>
          <w:sz w:val="28"/>
          <w:u w:val="single"/>
        </w:rPr>
        <w:t xml:space="preserve">           </w:t>
      </w:r>
      <w:r>
        <w:rPr>
          <w:rFonts w:hint="eastAsia"/>
          <w:color w:val="auto"/>
          <w:sz w:val="28"/>
        </w:rPr>
        <w:t xml:space="preserve">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法定代表人（签字）：</w:t>
      </w:r>
      <w:r>
        <w:rPr>
          <w:rFonts w:hint="eastAsia"/>
          <w:color w:val="auto"/>
          <w:sz w:val="28"/>
          <w:u w:val="single"/>
        </w:rPr>
        <w:t xml:space="preserve">             </w:t>
      </w:r>
    </w:p>
    <w:p>
      <w:pPr>
        <w:tabs>
          <w:tab w:val="left" w:pos="990"/>
        </w:tabs>
        <w:spacing w:line="360" w:lineRule="auto"/>
        <w:rPr>
          <w:color w:val="auto"/>
          <w:sz w:val="28"/>
        </w:rPr>
      </w:pPr>
      <w:r>
        <w:rPr>
          <w:rFonts w:hint="eastAsia"/>
          <w:color w:val="auto"/>
          <w:sz w:val="28"/>
        </w:rPr>
        <w:t>代理人（签字）：</w:t>
      </w:r>
      <w:r>
        <w:rPr>
          <w:rFonts w:hint="eastAsia"/>
          <w:color w:val="auto"/>
          <w:sz w:val="28"/>
          <w:u w:val="single"/>
        </w:rPr>
        <w:t xml:space="preserve">          </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rPr>
          <w:color w:val="auto"/>
        </w:rPr>
        <w:sectPr>
          <w:pgSz w:w="11906" w:h="16838"/>
          <w:pgMar w:top="1440" w:right="1800" w:bottom="1440" w:left="1800" w:header="851" w:footer="992" w:gutter="0"/>
          <w:cols w:space="425" w:num="1"/>
          <w:docGrid w:type="lines" w:linePitch="312" w:charSpace="0"/>
        </w:sectPr>
      </w:pPr>
    </w:p>
    <w:p>
      <w:pPr>
        <w:tabs>
          <w:tab w:val="left" w:pos="990"/>
        </w:tabs>
        <w:spacing w:line="360" w:lineRule="auto"/>
        <w:rPr>
          <w:b/>
          <w:color w:val="auto"/>
          <w:sz w:val="28"/>
        </w:rPr>
      </w:pPr>
      <w:r>
        <w:rPr>
          <w:rFonts w:hint="eastAsia"/>
          <w:b/>
          <w:color w:val="auto"/>
          <w:sz w:val="28"/>
        </w:rPr>
        <w:t>附录</w:t>
      </w:r>
      <w:r>
        <w:rPr>
          <w:rFonts w:ascii="Times New Roman" w:hAnsi="Times New Roman"/>
          <w:b/>
          <w:color w:val="auto"/>
          <w:sz w:val="28"/>
        </w:rPr>
        <w:t>D</w:t>
      </w:r>
      <w:r>
        <w:rPr>
          <w:rFonts w:hint="eastAsia"/>
          <w:b/>
          <w:color w:val="auto"/>
          <w:sz w:val="28"/>
        </w:rPr>
        <w:t>：</w:t>
      </w:r>
    </w:p>
    <w:p>
      <w:pPr>
        <w:tabs>
          <w:tab w:val="left" w:pos="990"/>
        </w:tabs>
        <w:spacing w:line="360" w:lineRule="auto"/>
        <w:jc w:val="center"/>
        <w:rPr>
          <w:b/>
          <w:color w:val="auto"/>
          <w:sz w:val="36"/>
          <w:szCs w:val="36"/>
        </w:rPr>
      </w:pPr>
      <w:r>
        <w:rPr>
          <w:rFonts w:hint="eastAsia"/>
          <w:b/>
          <w:color w:val="auto"/>
          <w:sz w:val="36"/>
          <w:szCs w:val="36"/>
        </w:rPr>
        <w:t>设备清单及报价明细表</w:t>
      </w:r>
    </w:p>
    <w:p>
      <w:pPr>
        <w:spacing w:line="360" w:lineRule="auto"/>
        <w:rPr>
          <w:rFonts w:ascii="楷体_GB2312" w:hAnsi="宋体" w:eastAsia="楷体_GB2312"/>
          <w:b/>
          <w:color w:val="auto"/>
        </w:rPr>
      </w:pPr>
      <w:r>
        <w:rPr>
          <w:rFonts w:hint="eastAsia" w:ascii="宋体" w:hAnsi="宋体"/>
          <w:b/>
          <w:color w:val="auto"/>
        </w:rPr>
        <w:t>投标人名称：</w:t>
      </w:r>
      <w:r>
        <w:rPr>
          <w:rFonts w:hint="eastAsia" w:ascii="楷体_GB2312" w:hAnsi="宋体" w:eastAsia="楷体_GB2312"/>
          <w:b/>
          <w:color w:val="auto"/>
          <w:u w:val="single"/>
        </w:rPr>
        <w:t xml:space="preserve">                                             </w:t>
      </w:r>
      <w:r>
        <w:rPr>
          <w:rFonts w:hint="eastAsia" w:ascii="楷体_GB2312" w:hAnsi="宋体" w:eastAsia="楷体_GB2312"/>
          <w:b/>
          <w:color w:val="auto"/>
        </w:rPr>
        <w:t xml:space="preserve">            </w:t>
      </w:r>
    </w:p>
    <w:tbl>
      <w:tblPr>
        <w:tblStyle w:val="8"/>
        <w:tblW w:w="15327" w:type="dxa"/>
        <w:jc w:val="center"/>
        <w:tblInd w:w="-2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061"/>
        <w:gridCol w:w="1631"/>
        <w:gridCol w:w="1101"/>
        <w:gridCol w:w="663"/>
        <w:gridCol w:w="663"/>
        <w:gridCol w:w="663"/>
        <w:gridCol w:w="1110"/>
        <w:gridCol w:w="2126"/>
        <w:gridCol w:w="2542"/>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类别</w:t>
            </w:r>
          </w:p>
        </w:tc>
        <w:tc>
          <w:tcPr>
            <w:tcW w:w="2061" w:type="dxa"/>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设备名称</w:t>
            </w:r>
          </w:p>
        </w:tc>
        <w:tc>
          <w:tcPr>
            <w:tcW w:w="1631" w:type="dxa"/>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品牌</w:t>
            </w:r>
          </w:p>
        </w:tc>
        <w:tc>
          <w:tcPr>
            <w:tcW w:w="1101" w:type="dxa"/>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规格型号</w:t>
            </w:r>
          </w:p>
        </w:tc>
        <w:tc>
          <w:tcPr>
            <w:tcW w:w="663" w:type="dxa"/>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数量</w:t>
            </w:r>
          </w:p>
        </w:tc>
        <w:tc>
          <w:tcPr>
            <w:tcW w:w="663" w:type="dxa"/>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单位</w:t>
            </w:r>
          </w:p>
        </w:tc>
        <w:tc>
          <w:tcPr>
            <w:tcW w:w="663" w:type="dxa"/>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单价</w:t>
            </w:r>
          </w:p>
        </w:tc>
        <w:tc>
          <w:tcPr>
            <w:tcW w:w="1110" w:type="dxa"/>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小计</w:t>
            </w:r>
          </w:p>
        </w:tc>
        <w:tc>
          <w:tcPr>
            <w:tcW w:w="2126" w:type="dxa"/>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主要技术指标</w:t>
            </w:r>
          </w:p>
        </w:tc>
        <w:tc>
          <w:tcPr>
            <w:tcW w:w="2542" w:type="dxa"/>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技术指标偏离情况</w:t>
            </w:r>
          </w:p>
        </w:tc>
        <w:tc>
          <w:tcPr>
            <w:tcW w:w="1564" w:type="dxa"/>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vAlign w:val="center"/>
          </w:tcPr>
          <w:p>
            <w:pPr>
              <w:spacing w:before="31" w:beforeLines="10" w:after="31" w:afterLines="10"/>
              <w:jc w:val="center"/>
              <w:rPr>
                <w:rFonts w:cs="宋体" w:asciiTheme="minorEastAsia" w:hAnsiTheme="minorEastAsia"/>
                <w:color w:val="auto"/>
                <w:kern w:val="0"/>
                <w:szCs w:val="21"/>
              </w:rPr>
            </w:pPr>
          </w:p>
        </w:tc>
        <w:tc>
          <w:tcPr>
            <w:tcW w:w="2061" w:type="dxa"/>
            <w:vAlign w:val="center"/>
          </w:tcPr>
          <w:p>
            <w:pPr>
              <w:adjustRightInd w:val="0"/>
              <w:snapToGrid w:val="0"/>
              <w:jc w:val="center"/>
              <w:rPr>
                <w:rFonts w:asciiTheme="minorEastAsia" w:hAnsiTheme="minorEastAsia"/>
                <w:color w:val="auto"/>
                <w:szCs w:val="21"/>
              </w:rPr>
            </w:pPr>
          </w:p>
        </w:tc>
        <w:tc>
          <w:tcPr>
            <w:tcW w:w="1631" w:type="dxa"/>
            <w:vAlign w:val="center"/>
          </w:tcPr>
          <w:p>
            <w:pPr>
              <w:adjustRightInd w:val="0"/>
              <w:snapToGrid w:val="0"/>
              <w:jc w:val="center"/>
              <w:rPr>
                <w:rFonts w:asciiTheme="minorEastAsia" w:hAnsiTheme="minorEastAsia"/>
                <w:color w:val="auto"/>
                <w:szCs w:val="21"/>
              </w:rPr>
            </w:pPr>
          </w:p>
        </w:tc>
        <w:tc>
          <w:tcPr>
            <w:tcW w:w="1101" w:type="dxa"/>
            <w:vAlign w:val="center"/>
          </w:tcPr>
          <w:p>
            <w:pPr>
              <w:adjustRightInd w:val="0"/>
              <w:snapToGrid w:val="0"/>
              <w:jc w:val="center"/>
              <w:rPr>
                <w:rFonts w:asciiTheme="minorEastAsia" w:hAnsiTheme="minorEastAsia"/>
                <w:color w:val="auto"/>
                <w:szCs w:val="21"/>
              </w:rPr>
            </w:pPr>
          </w:p>
        </w:tc>
        <w:tc>
          <w:tcPr>
            <w:tcW w:w="663" w:type="dxa"/>
            <w:vAlign w:val="center"/>
          </w:tcPr>
          <w:p>
            <w:pPr>
              <w:adjustRightInd w:val="0"/>
              <w:snapToGrid w:val="0"/>
              <w:jc w:val="center"/>
              <w:rPr>
                <w:rFonts w:asciiTheme="minorEastAsia" w:hAnsiTheme="minorEastAsia"/>
                <w:color w:val="auto"/>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1110" w:type="dxa"/>
            <w:vAlign w:val="center"/>
          </w:tcPr>
          <w:p>
            <w:pPr>
              <w:widowControl/>
              <w:spacing w:before="31" w:beforeLines="10" w:after="31" w:afterLines="10"/>
              <w:jc w:val="center"/>
              <w:rPr>
                <w:rFonts w:cs="宋体" w:asciiTheme="minorEastAsia" w:hAnsiTheme="minorEastAsia"/>
                <w:color w:val="auto"/>
                <w:kern w:val="0"/>
                <w:szCs w:val="21"/>
              </w:rPr>
            </w:pPr>
          </w:p>
        </w:tc>
        <w:tc>
          <w:tcPr>
            <w:tcW w:w="2126" w:type="dxa"/>
            <w:vAlign w:val="center"/>
          </w:tcPr>
          <w:p>
            <w:pPr>
              <w:widowControl/>
              <w:spacing w:before="31" w:beforeLines="10" w:after="31" w:afterLines="10"/>
              <w:jc w:val="center"/>
              <w:rPr>
                <w:rFonts w:cs="宋体" w:asciiTheme="minorEastAsia" w:hAnsiTheme="minorEastAsia"/>
                <w:color w:val="auto"/>
                <w:kern w:val="0"/>
                <w:szCs w:val="21"/>
              </w:rPr>
            </w:pPr>
          </w:p>
        </w:tc>
        <w:tc>
          <w:tcPr>
            <w:tcW w:w="2542" w:type="dxa"/>
            <w:vAlign w:val="center"/>
          </w:tcPr>
          <w:p>
            <w:pPr>
              <w:widowControl/>
              <w:spacing w:before="31" w:beforeLines="10" w:after="31" w:afterLines="10"/>
              <w:jc w:val="center"/>
              <w:rPr>
                <w:rFonts w:cs="宋体" w:asciiTheme="minorEastAsia" w:hAnsiTheme="minorEastAsia"/>
                <w:color w:val="auto"/>
                <w:kern w:val="0"/>
                <w:szCs w:val="21"/>
              </w:rPr>
            </w:pPr>
          </w:p>
        </w:tc>
        <w:tc>
          <w:tcPr>
            <w:tcW w:w="1564" w:type="dxa"/>
            <w:vAlign w:val="center"/>
          </w:tcPr>
          <w:p>
            <w:pPr>
              <w:widowControl/>
              <w:spacing w:before="31" w:beforeLines="10" w:after="31" w:afterLines="10"/>
              <w:jc w:val="center"/>
              <w:rPr>
                <w:rFonts w:cs="宋体" w:asciiTheme="minorEastAsia"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vAlign w:val="center"/>
          </w:tcPr>
          <w:p>
            <w:pPr>
              <w:spacing w:before="31" w:beforeLines="10" w:after="31" w:afterLines="10"/>
              <w:jc w:val="center"/>
              <w:rPr>
                <w:rFonts w:cs="宋体" w:asciiTheme="minorEastAsia" w:hAnsiTheme="minorEastAsia"/>
                <w:color w:val="auto"/>
                <w:kern w:val="0"/>
                <w:szCs w:val="21"/>
              </w:rPr>
            </w:pPr>
          </w:p>
        </w:tc>
        <w:tc>
          <w:tcPr>
            <w:tcW w:w="2061" w:type="dxa"/>
            <w:vAlign w:val="center"/>
          </w:tcPr>
          <w:p>
            <w:pPr>
              <w:adjustRightInd w:val="0"/>
              <w:snapToGrid w:val="0"/>
              <w:jc w:val="center"/>
              <w:rPr>
                <w:rFonts w:asciiTheme="minorEastAsia" w:hAnsiTheme="minorEastAsia"/>
                <w:color w:val="auto"/>
                <w:szCs w:val="21"/>
              </w:rPr>
            </w:pPr>
          </w:p>
        </w:tc>
        <w:tc>
          <w:tcPr>
            <w:tcW w:w="1631" w:type="dxa"/>
            <w:vAlign w:val="center"/>
          </w:tcPr>
          <w:p>
            <w:pPr>
              <w:adjustRightInd w:val="0"/>
              <w:snapToGrid w:val="0"/>
              <w:jc w:val="center"/>
              <w:rPr>
                <w:rFonts w:asciiTheme="minorEastAsia" w:hAnsiTheme="minorEastAsia"/>
                <w:color w:val="auto"/>
                <w:szCs w:val="21"/>
              </w:rPr>
            </w:pPr>
          </w:p>
        </w:tc>
        <w:tc>
          <w:tcPr>
            <w:tcW w:w="1101" w:type="dxa"/>
            <w:vAlign w:val="center"/>
          </w:tcPr>
          <w:p>
            <w:pPr>
              <w:adjustRightInd w:val="0"/>
              <w:snapToGrid w:val="0"/>
              <w:jc w:val="center"/>
              <w:rPr>
                <w:rFonts w:asciiTheme="minorEastAsia" w:hAnsiTheme="minorEastAsia"/>
                <w:color w:val="auto"/>
                <w:szCs w:val="21"/>
              </w:rPr>
            </w:pPr>
          </w:p>
        </w:tc>
        <w:tc>
          <w:tcPr>
            <w:tcW w:w="663" w:type="dxa"/>
            <w:vAlign w:val="center"/>
          </w:tcPr>
          <w:p>
            <w:pPr>
              <w:adjustRightInd w:val="0"/>
              <w:snapToGrid w:val="0"/>
              <w:jc w:val="center"/>
              <w:rPr>
                <w:rFonts w:asciiTheme="minorEastAsia" w:hAnsiTheme="minorEastAsia"/>
                <w:color w:val="auto"/>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1110" w:type="dxa"/>
            <w:vAlign w:val="center"/>
          </w:tcPr>
          <w:p>
            <w:pPr>
              <w:widowControl/>
              <w:spacing w:before="31" w:beforeLines="10" w:after="31" w:afterLines="10"/>
              <w:jc w:val="center"/>
              <w:rPr>
                <w:rFonts w:cs="宋体" w:asciiTheme="minorEastAsia" w:hAnsiTheme="minorEastAsia"/>
                <w:color w:val="auto"/>
                <w:kern w:val="0"/>
                <w:szCs w:val="21"/>
              </w:rPr>
            </w:pPr>
          </w:p>
        </w:tc>
        <w:tc>
          <w:tcPr>
            <w:tcW w:w="2126" w:type="dxa"/>
            <w:vAlign w:val="center"/>
          </w:tcPr>
          <w:p>
            <w:pPr>
              <w:widowControl/>
              <w:spacing w:before="31" w:beforeLines="10" w:after="31" w:afterLines="10"/>
              <w:jc w:val="center"/>
              <w:rPr>
                <w:rFonts w:cs="宋体" w:asciiTheme="minorEastAsia" w:hAnsiTheme="minorEastAsia"/>
                <w:color w:val="auto"/>
                <w:kern w:val="0"/>
                <w:szCs w:val="21"/>
              </w:rPr>
            </w:pPr>
          </w:p>
        </w:tc>
        <w:tc>
          <w:tcPr>
            <w:tcW w:w="2542" w:type="dxa"/>
            <w:vAlign w:val="center"/>
          </w:tcPr>
          <w:p>
            <w:pPr>
              <w:widowControl/>
              <w:spacing w:before="31" w:beforeLines="10" w:after="31" w:afterLines="10"/>
              <w:jc w:val="center"/>
              <w:rPr>
                <w:rFonts w:cs="宋体" w:asciiTheme="minorEastAsia" w:hAnsiTheme="minorEastAsia"/>
                <w:color w:val="auto"/>
                <w:kern w:val="0"/>
                <w:szCs w:val="21"/>
              </w:rPr>
            </w:pPr>
          </w:p>
        </w:tc>
        <w:tc>
          <w:tcPr>
            <w:tcW w:w="1564" w:type="dxa"/>
            <w:vAlign w:val="center"/>
          </w:tcPr>
          <w:p>
            <w:pPr>
              <w:widowControl/>
              <w:spacing w:before="31" w:beforeLines="10" w:after="31" w:afterLines="10"/>
              <w:jc w:val="center"/>
              <w:rPr>
                <w:rFonts w:cs="宋体" w:asciiTheme="minorEastAsia"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vAlign w:val="center"/>
          </w:tcPr>
          <w:p>
            <w:pPr>
              <w:spacing w:before="31" w:beforeLines="10" w:after="31" w:afterLines="10"/>
              <w:jc w:val="center"/>
              <w:rPr>
                <w:rFonts w:cs="宋体" w:asciiTheme="minorEastAsia" w:hAnsiTheme="minorEastAsia"/>
                <w:color w:val="auto"/>
                <w:kern w:val="0"/>
                <w:szCs w:val="21"/>
              </w:rPr>
            </w:pPr>
          </w:p>
        </w:tc>
        <w:tc>
          <w:tcPr>
            <w:tcW w:w="2061" w:type="dxa"/>
            <w:vAlign w:val="center"/>
          </w:tcPr>
          <w:p>
            <w:pPr>
              <w:adjustRightInd w:val="0"/>
              <w:snapToGrid w:val="0"/>
              <w:jc w:val="center"/>
              <w:rPr>
                <w:rFonts w:asciiTheme="minorEastAsia" w:hAnsiTheme="minorEastAsia"/>
                <w:color w:val="auto"/>
                <w:szCs w:val="21"/>
              </w:rPr>
            </w:pPr>
          </w:p>
        </w:tc>
        <w:tc>
          <w:tcPr>
            <w:tcW w:w="1631" w:type="dxa"/>
            <w:vAlign w:val="center"/>
          </w:tcPr>
          <w:p>
            <w:pPr>
              <w:adjustRightInd w:val="0"/>
              <w:snapToGrid w:val="0"/>
              <w:jc w:val="center"/>
              <w:rPr>
                <w:rFonts w:asciiTheme="minorEastAsia" w:hAnsiTheme="minorEastAsia"/>
                <w:color w:val="auto"/>
                <w:szCs w:val="21"/>
              </w:rPr>
            </w:pPr>
          </w:p>
        </w:tc>
        <w:tc>
          <w:tcPr>
            <w:tcW w:w="1101" w:type="dxa"/>
            <w:vAlign w:val="center"/>
          </w:tcPr>
          <w:p>
            <w:pPr>
              <w:adjustRightInd w:val="0"/>
              <w:snapToGrid w:val="0"/>
              <w:jc w:val="center"/>
              <w:rPr>
                <w:rFonts w:asciiTheme="minorEastAsia" w:hAnsiTheme="minorEastAsia"/>
                <w:color w:val="auto"/>
                <w:szCs w:val="21"/>
              </w:rPr>
            </w:pPr>
          </w:p>
        </w:tc>
        <w:tc>
          <w:tcPr>
            <w:tcW w:w="663" w:type="dxa"/>
            <w:vAlign w:val="center"/>
          </w:tcPr>
          <w:p>
            <w:pPr>
              <w:adjustRightInd w:val="0"/>
              <w:snapToGrid w:val="0"/>
              <w:jc w:val="center"/>
              <w:rPr>
                <w:rFonts w:asciiTheme="minorEastAsia" w:hAnsiTheme="minorEastAsia"/>
                <w:color w:val="auto"/>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1110" w:type="dxa"/>
            <w:vAlign w:val="center"/>
          </w:tcPr>
          <w:p>
            <w:pPr>
              <w:widowControl/>
              <w:spacing w:before="31" w:beforeLines="10" w:after="31" w:afterLines="10"/>
              <w:jc w:val="center"/>
              <w:rPr>
                <w:rFonts w:cs="宋体" w:asciiTheme="minorEastAsia" w:hAnsiTheme="minorEastAsia"/>
                <w:color w:val="auto"/>
                <w:kern w:val="0"/>
                <w:szCs w:val="21"/>
              </w:rPr>
            </w:pPr>
          </w:p>
        </w:tc>
        <w:tc>
          <w:tcPr>
            <w:tcW w:w="2126" w:type="dxa"/>
            <w:vAlign w:val="center"/>
          </w:tcPr>
          <w:p>
            <w:pPr>
              <w:widowControl/>
              <w:spacing w:before="31" w:beforeLines="10" w:after="31" w:afterLines="10"/>
              <w:jc w:val="center"/>
              <w:rPr>
                <w:rFonts w:cs="宋体" w:asciiTheme="minorEastAsia" w:hAnsiTheme="minorEastAsia"/>
                <w:color w:val="auto"/>
                <w:kern w:val="0"/>
                <w:szCs w:val="21"/>
              </w:rPr>
            </w:pPr>
          </w:p>
        </w:tc>
        <w:tc>
          <w:tcPr>
            <w:tcW w:w="2542" w:type="dxa"/>
            <w:vAlign w:val="center"/>
          </w:tcPr>
          <w:p>
            <w:pPr>
              <w:widowControl/>
              <w:spacing w:before="31" w:beforeLines="10" w:after="31" w:afterLines="10"/>
              <w:jc w:val="center"/>
              <w:rPr>
                <w:rFonts w:cs="宋体" w:asciiTheme="minorEastAsia" w:hAnsiTheme="minorEastAsia"/>
                <w:color w:val="auto"/>
                <w:kern w:val="0"/>
                <w:szCs w:val="21"/>
              </w:rPr>
            </w:pPr>
          </w:p>
        </w:tc>
        <w:tc>
          <w:tcPr>
            <w:tcW w:w="1564" w:type="dxa"/>
            <w:vAlign w:val="center"/>
          </w:tcPr>
          <w:p>
            <w:pPr>
              <w:widowControl/>
              <w:spacing w:before="31" w:beforeLines="10" w:after="31" w:afterLines="10"/>
              <w:jc w:val="center"/>
              <w:rPr>
                <w:rFonts w:cs="宋体" w:asciiTheme="minorEastAsia"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vAlign w:val="center"/>
          </w:tcPr>
          <w:p>
            <w:pPr>
              <w:spacing w:before="31" w:beforeLines="10" w:after="31" w:afterLines="10"/>
              <w:jc w:val="center"/>
              <w:rPr>
                <w:rFonts w:cs="宋体" w:asciiTheme="minorEastAsia" w:hAnsiTheme="minorEastAsia"/>
                <w:color w:val="auto"/>
                <w:kern w:val="0"/>
                <w:szCs w:val="21"/>
              </w:rPr>
            </w:pPr>
          </w:p>
        </w:tc>
        <w:tc>
          <w:tcPr>
            <w:tcW w:w="2061" w:type="dxa"/>
            <w:vAlign w:val="center"/>
          </w:tcPr>
          <w:p>
            <w:pPr>
              <w:adjustRightInd w:val="0"/>
              <w:snapToGrid w:val="0"/>
              <w:jc w:val="center"/>
              <w:rPr>
                <w:rFonts w:asciiTheme="minorEastAsia" w:hAnsiTheme="minorEastAsia"/>
                <w:color w:val="auto"/>
                <w:szCs w:val="21"/>
              </w:rPr>
            </w:pPr>
          </w:p>
        </w:tc>
        <w:tc>
          <w:tcPr>
            <w:tcW w:w="1631" w:type="dxa"/>
            <w:vAlign w:val="center"/>
          </w:tcPr>
          <w:p>
            <w:pPr>
              <w:adjustRightInd w:val="0"/>
              <w:snapToGrid w:val="0"/>
              <w:jc w:val="center"/>
              <w:rPr>
                <w:rFonts w:asciiTheme="minorEastAsia" w:hAnsiTheme="minorEastAsia"/>
                <w:color w:val="auto"/>
                <w:szCs w:val="21"/>
              </w:rPr>
            </w:pPr>
          </w:p>
        </w:tc>
        <w:tc>
          <w:tcPr>
            <w:tcW w:w="1101" w:type="dxa"/>
            <w:vAlign w:val="center"/>
          </w:tcPr>
          <w:p>
            <w:pPr>
              <w:adjustRightInd w:val="0"/>
              <w:snapToGrid w:val="0"/>
              <w:jc w:val="center"/>
              <w:rPr>
                <w:rFonts w:asciiTheme="minorEastAsia" w:hAnsiTheme="minorEastAsia"/>
                <w:color w:val="auto"/>
                <w:szCs w:val="21"/>
              </w:rPr>
            </w:pPr>
          </w:p>
        </w:tc>
        <w:tc>
          <w:tcPr>
            <w:tcW w:w="663" w:type="dxa"/>
            <w:vAlign w:val="center"/>
          </w:tcPr>
          <w:p>
            <w:pPr>
              <w:adjustRightInd w:val="0"/>
              <w:snapToGrid w:val="0"/>
              <w:jc w:val="center"/>
              <w:rPr>
                <w:rFonts w:asciiTheme="minorEastAsia" w:hAnsiTheme="minorEastAsia"/>
                <w:color w:val="auto"/>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1110" w:type="dxa"/>
            <w:vAlign w:val="center"/>
          </w:tcPr>
          <w:p>
            <w:pPr>
              <w:widowControl/>
              <w:spacing w:before="31" w:beforeLines="10" w:after="31" w:afterLines="10"/>
              <w:jc w:val="center"/>
              <w:rPr>
                <w:rFonts w:cs="宋体" w:asciiTheme="minorEastAsia" w:hAnsiTheme="minorEastAsia"/>
                <w:color w:val="auto"/>
                <w:kern w:val="0"/>
                <w:szCs w:val="21"/>
              </w:rPr>
            </w:pPr>
          </w:p>
        </w:tc>
        <w:tc>
          <w:tcPr>
            <w:tcW w:w="2126" w:type="dxa"/>
            <w:vAlign w:val="center"/>
          </w:tcPr>
          <w:p>
            <w:pPr>
              <w:widowControl/>
              <w:spacing w:before="31" w:beforeLines="10" w:after="31" w:afterLines="10"/>
              <w:jc w:val="center"/>
              <w:rPr>
                <w:rFonts w:cs="宋体" w:asciiTheme="minorEastAsia" w:hAnsiTheme="minorEastAsia"/>
                <w:color w:val="auto"/>
                <w:kern w:val="0"/>
                <w:szCs w:val="21"/>
              </w:rPr>
            </w:pPr>
          </w:p>
        </w:tc>
        <w:tc>
          <w:tcPr>
            <w:tcW w:w="2542" w:type="dxa"/>
            <w:vAlign w:val="center"/>
          </w:tcPr>
          <w:p>
            <w:pPr>
              <w:widowControl/>
              <w:spacing w:before="31" w:beforeLines="10" w:after="31" w:afterLines="10"/>
              <w:jc w:val="center"/>
              <w:rPr>
                <w:rFonts w:cs="宋体" w:asciiTheme="minorEastAsia" w:hAnsiTheme="minorEastAsia"/>
                <w:color w:val="auto"/>
                <w:kern w:val="0"/>
                <w:szCs w:val="21"/>
              </w:rPr>
            </w:pPr>
          </w:p>
        </w:tc>
        <w:tc>
          <w:tcPr>
            <w:tcW w:w="1564" w:type="dxa"/>
            <w:vAlign w:val="center"/>
          </w:tcPr>
          <w:p>
            <w:pPr>
              <w:widowControl/>
              <w:spacing w:before="31" w:beforeLines="10" w:after="31" w:afterLines="10"/>
              <w:jc w:val="center"/>
              <w:rPr>
                <w:rFonts w:cs="宋体" w:asciiTheme="minorEastAsia"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vAlign w:val="center"/>
          </w:tcPr>
          <w:p>
            <w:pPr>
              <w:spacing w:before="31" w:beforeLines="10" w:after="31" w:afterLines="10"/>
              <w:jc w:val="center"/>
              <w:rPr>
                <w:rFonts w:cs="宋体" w:asciiTheme="minorEastAsia" w:hAnsiTheme="minorEastAsia"/>
                <w:color w:val="auto"/>
                <w:kern w:val="0"/>
                <w:szCs w:val="21"/>
              </w:rPr>
            </w:pPr>
          </w:p>
        </w:tc>
        <w:tc>
          <w:tcPr>
            <w:tcW w:w="2061" w:type="dxa"/>
            <w:vAlign w:val="center"/>
          </w:tcPr>
          <w:p>
            <w:pPr>
              <w:adjustRightInd w:val="0"/>
              <w:snapToGrid w:val="0"/>
              <w:jc w:val="center"/>
              <w:rPr>
                <w:rFonts w:asciiTheme="minorEastAsia" w:hAnsiTheme="minorEastAsia"/>
                <w:color w:val="auto"/>
                <w:szCs w:val="21"/>
              </w:rPr>
            </w:pPr>
          </w:p>
        </w:tc>
        <w:tc>
          <w:tcPr>
            <w:tcW w:w="1631" w:type="dxa"/>
            <w:vAlign w:val="center"/>
          </w:tcPr>
          <w:p>
            <w:pPr>
              <w:adjustRightInd w:val="0"/>
              <w:snapToGrid w:val="0"/>
              <w:jc w:val="center"/>
              <w:rPr>
                <w:rFonts w:asciiTheme="minorEastAsia" w:hAnsiTheme="minorEastAsia"/>
                <w:color w:val="auto"/>
                <w:szCs w:val="21"/>
              </w:rPr>
            </w:pPr>
          </w:p>
        </w:tc>
        <w:tc>
          <w:tcPr>
            <w:tcW w:w="1101" w:type="dxa"/>
            <w:vAlign w:val="center"/>
          </w:tcPr>
          <w:p>
            <w:pPr>
              <w:adjustRightInd w:val="0"/>
              <w:snapToGrid w:val="0"/>
              <w:jc w:val="center"/>
              <w:rPr>
                <w:rFonts w:asciiTheme="minorEastAsia" w:hAnsiTheme="minorEastAsia"/>
                <w:color w:val="auto"/>
                <w:szCs w:val="21"/>
              </w:rPr>
            </w:pPr>
          </w:p>
        </w:tc>
        <w:tc>
          <w:tcPr>
            <w:tcW w:w="663" w:type="dxa"/>
            <w:vAlign w:val="center"/>
          </w:tcPr>
          <w:p>
            <w:pPr>
              <w:adjustRightInd w:val="0"/>
              <w:snapToGrid w:val="0"/>
              <w:jc w:val="center"/>
              <w:rPr>
                <w:rFonts w:asciiTheme="minorEastAsia" w:hAnsiTheme="minorEastAsia"/>
                <w:color w:val="auto"/>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1110" w:type="dxa"/>
            <w:vAlign w:val="center"/>
          </w:tcPr>
          <w:p>
            <w:pPr>
              <w:widowControl/>
              <w:spacing w:before="31" w:beforeLines="10" w:after="31" w:afterLines="10"/>
              <w:jc w:val="center"/>
              <w:rPr>
                <w:rFonts w:cs="宋体" w:asciiTheme="minorEastAsia" w:hAnsiTheme="minorEastAsia"/>
                <w:color w:val="auto"/>
                <w:kern w:val="0"/>
                <w:szCs w:val="21"/>
              </w:rPr>
            </w:pPr>
          </w:p>
        </w:tc>
        <w:tc>
          <w:tcPr>
            <w:tcW w:w="2126" w:type="dxa"/>
            <w:vAlign w:val="center"/>
          </w:tcPr>
          <w:p>
            <w:pPr>
              <w:widowControl/>
              <w:spacing w:before="31" w:beforeLines="10" w:after="31" w:afterLines="10"/>
              <w:jc w:val="center"/>
              <w:rPr>
                <w:rFonts w:cs="宋体" w:asciiTheme="minorEastAsia" w:hAnsiTheme="minorEastAsia"/>
                <w:color w:val="auto"/>
                <w:kern w:val="0"/>
                <w:szCs w:val="21"/>
              </w:rPr>
            </w:pPr>
          </w:p>
        </w:tc>
        <w:tc>
          <w:tcPr>
            <w:tcW w:w="2542" w:type="dxa"/>
            <w:vAlign w:val="center"/>
          </w:tcPr>
          <w:p>
            <w:pPr>
              <w:widowControl/>
              <w:spacing w:before="31" w:beforeLines="10" w:after="31" w:afterLines="10"/>
              <w:jc w:val="center"/>
              <w:rPr>
                <w:rFonts w:cs="宋体" w:asciiTheme="minorEastAsia" w:hAnsiTheme="minorEastAsia"/>
                <w:color w:val="auto"/>
                <w:kern w:val="0"/>
                <w:szCs w:val="21"/>
              </w:rPr>
            </w:pPr>
          </w:p>
        </w:tc>
        <w:tc>
          <w:tcPr>
            <w:tcW w:w="1564" w:type="dxa"/>
            <w:vAlign w:val="center"/>
          </w:tcPr>
          <w:p>
            <w:pPr>
              <w:widowControl/>
              <w:spacing w:before="31" w:beforeLines="10" w:after="31" w:afterLines="10"/>
              <w:jc w:val="center"/>
              <w:rPr>
                <w:rFonts w:cs="宋体" w:asciiTheme="minorEastAsia"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vAlign w:val="center"/>
          </w:tcPr>
          <w:p>
            <w:pPr>
              <w:spacing w:before="31" w:beforeLines="10" w:after="31" w:afterLines="10"/>
              <w:jc w:val="center"/>
              <w:rPr>
                <w:rFonts w:cs="宋体" w:asciiTheme="minorEastAsia" w:hAnsiTheme="minorEastAsia"/>
                <w:color w:val="auto"/>
                <w:kern w:val="0"/>
                <w:szCs w:val="21"/>
              </w:rPr>
            </w:pPr>
          </w:p>
        </w:tc>
        <w:tc>
          <w:tcPr>
            <w:tcW w:w="2061" w:type="dxa"/>
            <w:vAlign w:val="center"/>
          </w:tcPr>
          <w:p>
            <w:pPr>
              <w:adjustRightInd w:val="0"/>
              <w:snapToGrid w:val="0"/>
              <w:jc w:val="center"/>
              <w:rPr>
                <w:rFonts w:asciiTheme="minorEastAsia" w:hAnsiTheme="minorEastAsia"/>
                <w:color w:val="auto"/>
                <w:szCs w:val="21"/>
              </w:rPr>
            </w:pPr>
          </w:p>
        </w:tc>
        <w:tc>
          <w:tcPr>
            <w:tcW w:w="1631" w:type="dxa"/>
            <w:vAlign w:val="center"/>
          </w:tcPr>
          <w:p>
            <w:pPr>
              <w:adjustRightInd w:val="0"/>
              <w:snapToGrid w:val="0"/>
              <w:jc w:val="center"/>
              <w:rPr>
                <w:rFonts w:asciiTheme="minorEastAsia" w:hAnsiTheme="minorEastAsia"/>
                <w:color w:val="auto"/>
                <w:szCs w:val="21"/>
              </w:rPr>
            </w:pPr>
          </w:p>
        </w:tc>
        <w:tc>
          <w:tcPr>
            <w:tcW w:w="1101" w:type="dxa"/>
            <w:vAlign w:val="center"/>
          </w:tcPr>
          <w:p>
            <w:pPr>
              <w:adjustRightInd w:val="0"/>
              <w:snapToGrid w:val="0"/>
              <w:jc w:val="center"/>
              <w:rPr>
                <w:rFonts w:asciiTheme="minorEastAsia" w:hAnsiTheme="minorEastAsia"/>
                <w:color w:val="auto"/>
                <w:szCs w:val="21"/>
              </w:rPr>
            </w:pPr>
          </w:p>
        </w:tc>
        <w:tc>
          <w:tcPr>
            <w:tcW w:w="663" w:type="dxa"/>
            <w:vAlign w:val="center"/>
          </w:tcPr>
          <w:p>
            <w:pPr>
              <w:adjustRightInd w:val="0"/>
              <w:snapToGrid w:val="0"/>
              <w:jc w:val="center"/>
              <w:rPr>
                <w:rFonts w:asciiTheme="minorEastAsia" w:hAnsiTheme="minorEastAsia"/>
                <w:color w:val="auto"/>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1110" w:type="dxa"/>
            <w:vAlign w:val="center"/>
          </w:tcPr>
          <w:p>
            <w:pPr>
              <w:widowControl/>
              <w:spacing w:before="31" w:beforeLines="10" w:after="31" w:afterLines="10"/>
              <w:jc w:val="center"/>
              <w:rPr>
                <w:rFonts w:cs="宋体" w:asciiTheme="minorEastAsia" w:hAnsiTheme="minorEastAsia"/>
                <w:color w:val="auto"/>
                <w:kern w:val="0"/>
                <w:szCs w:val="21"/>
              </w:rPr>
            </w:pPr>
          </w:p>
        </w:tc>
        <w:tc>
          <w:tcPr>
            <w:tcW w:w="2126" w:type="dxa"/>
            <w:vAlign w:val="center"/>
          </w:tcPr>
          <w:p>
            <w:pPr>
              <w:widowControl/>
              <w:spacing w:before="31" w:beforeLines="10" w:after="31" w:afterLines="10"/>
              <w:jc w:val="center"/>
              <w:rPr>
                <w:rFonts w:cs="宋体" w:asciiTheme="minorEastAsia" w:hAnsiTheme="minorEastAsia"/>
                <w:color w:val="auto"/>
                <w:kern w:val="0"/>
                <w:szCs w:val="21"/>
              </w:rPr>
            </w:pPr>
          </w:p>
        </w:tc>
        <w:tc>
          <w:tcPr>
            <w:tcW w:w="2542" w:type="dxa"/>
            <w:vAlign w:val="center"/>
          </w:tcPr>
          <w:p>
            <w:pPr>
              <w:widowControl/>
              <w:spacing w:before="31" w:beforeLines="10" w:after="31" w:afterLines="10"/>
              <w:jc w:val="center"/>
              <w:rPr>
                <w:rFonts w:cs="宋体" w:asciiTheme="minorEastAsia" w:hAnsiTheme="minorEastAsia"/>
                <w:color w:val="auto"/>
                <w:kern w:val="0"/>
                <w:szCs w:val="21"/>
              </w:rPr>
            </w:pPr>
          </w:p>
        </w:tc>
        <w:tc>
          <w:tcPr>
            <w:tcW w:w="1564" w:type="dxa"/>
            <w:vAlign w:val="center"/>
          </w:tcPr>
          <w:p>
            <w:pPr>
              <w:widowControl/>
              <w:spacing w:before="31" w:beforeLines="10" w:after="31" w:afterLines="10"/>
              <w:jc w:val="center"/>
              <w:rPr>
                <w:rFonts w:cs="宋体" w:asciiTheme="minorEastAsia"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vAlign w:val="center"/>
          </w:tcPr>
          <w:p>
            <w:pPr>
              <w:spacing w:before="31" w:beforeLines="10" w:after="31" w:afterLines="10"/>
              <w:jc w:val="center"/>
              <w:rPr>
                <w:rFonts w:cs="宋体" w:asciiTheme="minorEastAsia" w:hAnsiTheme="minorEastAsia"/>
                <w:color w:val="auto"/>
                <w:kern w:val="0"/>
                <w:szCs w:val="21"/>
              </w:rPr>
            </w:pPr>
          </w:p>
        </w:tc>
        <w:tc>
          <w:tcPr>
            <w:tcW w:w="2061" w:type="dxa"/>
            <w:vAlign w:val="center"/>
          </w:tcPr>
          <w:p>
            <w:pPr>
              <w:adjustRightInd w:val="0"/>
              <w:snapToGrid w:val="0"/>
              <w:jc w:val="center"/>
              <w:rPr>
                <w:rFonts w:asciiTheme="minorEastAsia" w:hAnsiTheme="minorEastAsia"/>
                <w:color w:val="auto"/>
                <w:szCs w:val="21"/>
              </w:rPr>
            </w:pPr>
          </w:p>
        </w:tc>
        <w:tc>
          <w:tcPr>
            <w:tcW w:w="1631" w:type="dxa"/>
            <w:vAlign w:val="center"/>
          </w:tcPr>
          <w:p>
            <w:pPr>
              <w:adjustRightInd w:val="0"/>
              <w:snapToGrid w:val="0"/>
              <w:jc w:val="center"/>
              <w:rPr>
                <w:rFonts w:asciiTheme="minorEastAsia" w:hAnsiTheme="minorEastAsia"/>
                <w:color w:val="auto"/>
                <w:szCs w:val="21"/>
              </w:rPr>
            </w:pPr>
          </w:p>
        </w:tc>
        <w:tc>
          <w:tcPr>
            <w:tcW w:w="1101" w:type="dxa"/>
            <w:vAlign w:val="center"/>
          </w:tcPr>
          <w:p>
            <w:pPr>
              <w:adjustRightInd w:val="0"/>
              <w:snapToGrid w:val="0"/>
              <w:jc w:val="center"/>
              <w:rPr>
                <w:rFonts w:asciiTheme="minorEastAsia" w:hAnsiTheme="minorEastAsia"/>
                <w:color w:val="auto"/>
                <w:szCs w:val="21"/>
              </w:rPr>
            </w:pPr>
          </w:p>
        </w:tc>
        <w:tc>
          <w:tcPr>
            <w:tcW w:w="663" w:type="dxa"/>
            <w:vAlign w:val="center"/>
          </w:tcPr>
          <w:p>
            <w:pPr>
              <w:adjustRightInd w:val="0"/>
              <w:snapToGrid w:val="0"/>
              <w:jc w:val="center"/>
              <w:rPr>
                <w:rFonts w:asciiTheme="minorEastAsia" w:hAnsiTheme="minorEastAsia"/>
                <w:color w:val="auto"/>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1110" w:type="dxa"/>
            <w:vAlign w:val="center"/>
          </w:tcPr>
          <w:p>
            <w:pPr>
              <w:widowControl/>
              <w:spacing w:before="31" w:beforeLines="10" w:after="31" w:afterLines="10"/>
              <w:jc w:val="center"/>
              <w:rPr>
                <w:rFonts w:cs="宋体" w:asciiTheme="minorEastAsia" w:hAnsiTheme="minorEastAsia"/>
                <w:color w:val="auto"/>
                <w:kern w:val="0"/>
                <w:szCs w:val="21"/>
              </w:rPr>
            </w:pPr>
          </w:p>
        </w:tc>
        <w:tc>
          <w:tcPr>
            <w:tcW w:w="2126" w:type="dxa"/>
            <w:vAlign w:val="center"/>
          </w:tcPr>
          <w:p>
            <w:pPr>
              <w:widowControl/>
              <w:spacing w:before="31" w:beforeLines="10" w:after="31" w:afterLines="10"/>
              <w:jc w:val="center"/>
              <w:rPr>
                <w:rFonts w:cs="宋体" w:asciiTheme="minorEastAsia" w:hAnsiTheme="minorEastAsia"/>
                <w:color w:val="auto"/>
                <w:kern w:val="0"/>
                <w:szCs w:val="21"/>
              </w:rPr>
            </w:pPr>
          </w:p>
        </w:tc>
        <w:tc>
          <w:tcPr>
            <w:tcW w:w="2542" w:type="dxa"/>
            <w:vAlign w:val="center"/>
          </w:tcPr>
          <w:p>
            <w:pPr>
              <w:widowControl/>
              <w:spacing w:before="31" w:beforeLines="10" w:after="31" w:afterLines="10"/>
              <w:jc w:val="center"/>
              <w:rPr>
                <w:rFonts w:cs="宋体" w:asciiTheme="minorEastAsia" w:hAnsiTheme="minorEastAsia"/>
                <w:color w:val="auto"/>
                <w:kern w:val="0"/>
                <w:szCs w:val="21"/>
              </w:rPr>
            </w:pPr>
          </w:p>
        </w:tc>
        <w:tc>
          <w:tcPr>
            <w:tcW w:w="1564" w:type="dxa"/>
            <w:vAlign w:val="center"/>
          </w:tcPr>
          <w:p>
            <w:pPr>
              <w:widowControl/>
              <w:spacing w:before="31" w:beforeLines="10" w:after="31" w:afterLines="10"/>
              <w:jc w:val="center"/>
              <w:rPr>
                <w:rFonts w:cs="宋体" w:asciiTheme="minorEastAsia"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3" w:type="dxa"/>
            <w:vAlign w:val="center"/>
          </w:tcPr>
          <w:p>
            <w:pPr>
              <w:spacing w:before="31" w:beforeLines="10" w:after="31" w:afterLines="10"/>
              <w:jc w:val="center"/>
              <w:rPr>
                <w:rFonts w:cs="宋体" w:asciiTheme="minorEastAsia" w:hAnsiTheme="minorEastAsia"/>
                <w:color w:val="auto"/>
                <w:kern w:val="0"/>
                <w:szCs w:val="21"/>
              </w:rPr>
            </w:pPr>
          </w:p>
        </w:tc>
        <w:tc>
          <w:tcPr>
            <w:tcW w:w="2061" w:type="dxa"/>
            <w:vAlign w:val="center"/>
          </w:tcPr>
          <w:p>
            <w:pPr>
              <w:adjustRightInd w:val="0"/>
              <w:snapToGrid w:val="0"/>
              <w:jc w:val="center"/>
              <w:rPr>
                <w:rFonts w:asciiTheme="minorEastAsia" w:hAnsiTheme="minorEastAsia"/>
                <w:color w:val="auto"/>
                <w:szCs w:val="21"/>
              </w:rPr>
            </w:pPr>
          </w:p>
        </w:tc>
        <w:tc>
          <w:tcPr>
            <w:tcW w:w="1631" w:type="dxa"/>
            <w:vAlign w:val="center"/>
          </w:tcPr>
          <w:p>
            <w:pPr>
              <w:adjustRightInd w:val="0"/>
              <w:snapToGrid w:val="0"/>
              <w:jc w:val="center"/>
              <w:rPr>
                <w:rFonts w:asciiTheme="minorEastAsia" w:hAnsiTheme="minorEastAsia"/>
                <w:color w:val="auto"/>
                <w:szCs w:val="21"/>
              </w:rPr>
            </w:pPr>
          </w:p>
        </w:tc>
        <w:tc>
          <w:tcPr>
            <w:tcW w:w="1101" w:type="dxa"/>
            <w:vAlign w:val="center"/>
          </w:tcPr>
          <w:p>
            <w:pPr>
              <w:adjustRightInd w:val="0"/>
              <w:snapToGrid w:val="0"/>
              <w:jc w:val="center"/>
              <w:rPr>
                <w:rFonts w:asciiTheme="minorEastAsia" w:hAnsiTheme="minorEastAsia"/>
                <w:color w:val="auto"/>
                <w:szCs w:val="21"/>
              </w:rPr>
            </w:pPr>
          </w:p>
        </w:tc>
        <w:tc>
          <w:tcPr>
            <w:tcW w:w="663" w:type="dxa"/>
            <w:vAlign w:val="center"/>
          </w:tcPr>
          <w:p>
            <w:pPr>
              <w:adjustRightInd w:val="0"/>
              <w:snapToGrid w:val="0"/>
              <w:jc w:val="center"/>
              <w:rPr>
                <w:rFonts w:asciiTheme="minorEastAsia" w:hAnsiTheme="minorEastAsia"/>
                <w:color w:val="auto"/>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663" w:type="dxa"/>
            <w:vAlign w:val="center"/>
          </w:tcPr>
          <w:p>
            <w:pPr>
              <w:widowControl/>
              <w:spacing w:before="31" w:beforeLines="10" w:after="31" w:afterLines="10"/>
              <w:jc w:val="center"/>
              <w:rPr>
                <w:rFonts w:cs="宋体" w:asciiTheme="minorEastAsia" w:hAnsiTheme="minorEastAsia"/>
                <w:color w:val="auto"/>
                <w:kern w:val="0"/>
                <w:szCs w:val="21"/>
              </w:rPr>
            </w:pPr>
          </w:p>
        </w:tc>
        <w:tc>
          <w:tcPr>
            <w:tcW w:w="1110" w:type="dxa"/>
            <w:vAlign w:val="center"/>
          </w:tcPr>
          <w:p>
            <w:pPr>
              <w:widowControl/>
              <w:spacing w:before="31" w:beforeLines="10" w:after="31" w:afterLines="10"/>
              <w:jc w:val="center"/>
              <w:rPr>
                <w:rFonts w:cs="宋体" w:asciiTheme="minorEastAsia" w:hAnsiTheme="minorEastAsia"/>
                <w:color w:val="auto"/>
                <w:kern w:val="0"/>
                <w:szCs w:val="21"/>
              </w:rPr>
            </w:pPr>
          </w:p>
        </w:tc>
        <w:tc>
          <w:tcPr>
            <w:tcW w:w="2126" w:type="dxa"/>
            <w:vAlign w:val="center"/>
          </w:tcPr>
          <w:p>
            <w:pPr>
              <w:widowControl/>
              <w:spacing w:before="31" w:beforeLines="10" w:after="31" w:afterLines="10"/>
              <w:jc w:val="center"/>
              <w:rPr>
                <w:rFonts w:cs="宋体" w:asciiTheme="minorEastAsia" w:hAnsiTheme="minorEastAsia"/>
                <w:color w:val="auto"/>
                <w:kern w:val="0"/>
                <w:szCs w:val="21"/>
              </w:rPr>
            </w:pPr>
          </w:p>
        </w:tc>
        <w:tc>
          <w:tcPr>
            <w:tcW w:w="2542" w:type="dxa"/>
            <w:vAlign w:val="center"/>
          </w:tcPr>
          <w:p>
            <w:pPr>
              <w:widowControl/>
              <w:spacing w:before="31" w:beforeLines="10" w:after="31" w:afterLines="10"/>
              <w:jc w:val="center"/>
              <w:rPr>
                <w:rFonts w:cs="宋体" w:asciiTheme="minorEastAsia" w:hAnsiTheme="minorEastAsia"/>
                <w:color w:val="auto"/>
                <w:kern w:val="0"/>
                <w:szCs w:val="21"/>
              </w:rPr>
            </w:pPr>
          </w:p>
        </w:tc>
        <w:tc>
          <w:tcPr>
            <w:tcW w:w="1564" w:type="dxa"/>
            <w:vAlign w:val="center"/>
          </w:tcPr>
          <w:p>
            <w:pPr>
              <w:widowControl/>
              <w:spacing w:before="31" w:beforeLines="10" w:after="31" w:afterLines="10"/>
              <w:jc w:val="center"/>
              <w:rPr>
                <w:rFonts w:cs="宋体" w:asciiTheme="minorEastAsia"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5" w:type="dxa"/>
            <w:gridSpan w:val="7"/>
            <w:vAlign w:val="center"/>
          </w:tcPr>
          <w:p>
            <w:pPr>
              <w:widowControl/>
              <w:spacing w:before="31" w:beforeLines="10" w:after="31" w:afterLines="10"/>
              <w:jc w:val="center"/>
              <w:rPr>
                <w:rFonts w:cs="宋体" w:asciiTheme="minorEastAsia" w:hAnsiTheme="minorEastAsia"/>
                <w:color w:val="auto"/>
                <w:kern w:val="0"/>
                <w:szCs w:val="21"/>
              </w:rPr>
            </w:pPr>
            <w:r>
              <w:rPr>
                <w:rFonts w:cs="宋体" w:asciiTheme="minorEastAsia" w:hAnsiTheme="minorEastAsia"/>
                <w:color w:val="auto"/>
                <w:kern w:val="0"/>
                <w:szCs w:val="21"/>
              </w:rPr>
              <w:t>合</w:t>
            </w:r>
            <w:r>
              <w:rPr>
                <w:rFonts w:hint="eastAsia" w:cs="宋体" w:asciiTheme="minorEastAsia" w:hAnsiTheme="minorEastAsia"/>
                <w:color w:val="auto"/>
                <w:kern w:val="0"/>
                <w:szCs w:val="21"/>
              </w:rPr>
              <w:t xml:space="preserve">   计</w:t>
            </w:r>
          </w:p>
        </w:tc>
        <w:tc>
          <w:tcPr>
            <w:tcW w:w="1110" w:type="dxa"/>
            <w:vAlign w:val="center"/>
          </w:tcPr>
          <w:p>
            <w:pPr>
              <w:widowControl/>
              <w:spacing w:before="31" w:beforeLines="10" w:after="31" w:afterLines="10"/>
              <w:jc w:val="center"/>
              <w:rPr>
                <w:rFonts w:cs="宋体" w:asciiTheme="minorEastAsia" w:hAnsiTheme="minorEastAsia"/>
                <w:color w:val="auto"/>
                <w:kern w:val="0"/>
                <w:szCs w:val="21"/>
              </w:rPr>
            </w:pPr>
          </w:p>
        </w:tc>
        <w:tc>
          <w:tcPr>
            <w:tcW w:w="2126" w:type="dxa"/>
            <w:vAlign w:val="center"/>
          </w:tcPr>
          <w:p>
            <w:pPr>
              <w:widowControl/>
              <w:spacing w:before="31" w:beforeLines="10" w:after="31" w:afterLines="10"/>
              <w:jc w:val="center"/>
              <w:rPr>
                <w:rFonts w:cs="宋体" w:asciiTheme="minorEastAsia" w:hAnsiTheme="minorEastAsia"/>
                <w:color w:val="auto"/>
                <w:kern w:val="0"/>
                <w:szCs w:val="21"/>
              </w:rPr>
            </w:pPr>
          </w:p>
        </w:tc>
        <w:tc>
          <w:tcPr>
            <w:tcW w:w="2542" w:type="dxa"/>
            <w:vAlign w:val="center"/>
          </w:tcPr>
          <w:p>
            <w:pPr>
              <w:widowControl/>
              <w:spacing w:before="31" w:beforeLines="10" w:after="31" w:afterLines="10"/>
              <w:jc w:val="center"/>
              <w:rPr>
                <w:rFonts w:cs="宋体" w:asciiTheme="minorEastAsia" w:hAnsiTheme="minorEastAsia"/>
                <w:color w:val="auto"/>
                <w:kern w:val="0"/>
                <w:szCs w:val="21"/>
              </w:rPr>
            </w:pPr>
          </w:p>
        </w:tc>
        <w:tc>
          <w:tcPr>
            <w:tcW w:w="1564" w:type="dxa"/>
            <w:vAlign w:val="center"/>
          </w:tcPr>
          <w:p>
            <w:pPr>
              <w:widowControl/>
              <w:spacing w:before="31" w:beforeLines="10" w:after="31" w:afterLines="10"/>
              <w:jc w:val="center"/>
              <w:rPr>
                <w:rFonts w:cs="宋体" w:asciiTheme="minorEastAsia"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5" w:type="dxa"/>
            <w:gridSpan w:val="7"/>
            <w:vAlign w:val="center"/>
          </w:tcPr>
          <w:p>
            <w:pPr>
              <w:widowControl/>
              <w:spacing w:before="31" w:beforeLines="10" w:after="31" w:afterLines="10"/>
              <w:jc w:val="center"/>
              <w:rPr>
                <w:rFonts w:cs="宋体" w:asciiTheme="minorEastAsia" w:hAnsiTheme="minorEastAsia"/>
                <w:color w:val="auto"/>
                <w:kern w:val="0"/>
                <w:szCs w:val="21"/>
              </w:rPr>
            </w:pPr>
            <w:r>
              <w:rPr>
                <w:rFonts w:cs="宋体" w:asciiTheme="minorEastAsia" w:hAnsiTheme="minorEastAsia"/>
                <w:color w:val="auto"/>
                <w:kern w:val="0"/>
                <w:szCs w:val="21"/>
              </w:rPr>
              <w:t>大写</w:t>
            </w:r>
          </w:p>
        </w:tc>
        <w:tc>
          <w:tcPr>
            <w:tcW w:w="3236" w:type="dxa"/>
            <w:gridSpan w:val="2"/>
            <w:vAlign w:val="center"/>
          </w:tcPr>
          <w:p>
            <w:pPr>
              <w:widowControl/>
              <w:spacing w:before="31" w:beforeLines="10" w:after="31" w:afterLines="10"/>
              <w:jc w:val="center"/>
              <w:rPr>
                <w:rFonts w:cs="宋体" w:asciiTheme="minorEastAsia" w:hAnsiTheme="minorEastAsia"/>
                <w:color w:val="auto"/>
                <w:kern w:val="0"/>
                <w:szCs w:val="21"/>
              </w:rPr>
            </w:pPr>
          </w:p>
        </w:tc>
        <w:tc>
          <w:tcPr>
            <w:tcW w:w="2542" w:type="dxa"/>
            <w:vAlign w:val="center"/>
          </w:tcPr>
          <w:p>
            <w:pPr>
              <w:widowControl/>
              <w:spacing w:before="31" w:beforeLines="10" w:after="31" w:afterLines="10"/>
              <w:jc w:val="center"/>
              <w:rPr>
                <w:rFonts w:cs="宋体" w:asciiTheme="minorEastAsia" w:hAnsiTheme="minorEastAsia"/>
                <w:color w:val="auto"/>
                <w:kern w:val="0"/>
                <w:szCs w:val="21"/>
              </w:rPr>
            </w:pPr>
          </w:p>
        </w:tc>
        <w:tc>
          <w:tcPr>
            <w:tcW w:w="1564" w:type="dxa"/>
            <w:vAlign w:val="center"/>
          </w:tcPr>
          <w:p>
            <w:pPr>
              <w:widowControl/>
              <w:spacing w:before="31" w:beforeLines="10" w:after="31" w:afterLines="10"/>
              <w:jc w:val="center"/>
              <w:rPr>
                <w:rFonts w:cs="宋体" w:asciiTheme="minorEastAsia" w:hAnsiTheme="minorEastAsia"/>
                <w:color w:val="auto"/>
                <w:kern w:val="0"/>
                <w:szCs w:val="21"/>
              </w:rPr>
            </w:pPr>
          </w:p>
        </w:tc>
      </w:tr>
    </w:tbl>
    <w:p>
      <w:pPr>
        <w:pStyle w:val="6"/>
        <w:spacing w:before="0" w:beforeAutospacing="0" w:after="0" w:afterAutospacing="0"/>
        <w:rPr>
          <w:color w:val="auto"/>
        </w:rPr>
      </w:pPr>
      <w:r>
        <w:rPr>
          <w:rFonts w:hint="eastAsia"/>
          <w:color w:val="auto"/>
        </w:rPr>
        <w:t>注：1.报价单应详列全部内容,并编写详细的材料、单价和总价款。</w:t>
      </w:r>
    </w:p>
    <w:p>
      <w:pPr>
        <w:pStyle w:val="6"/>
        <w:spacing w:before="0" w:beforeAutospacing="0" w:after="0" w:afterAutospacing="0"/>
        <w:rPr>
          <w:color w:val="auto"/>
        </w:rPr>
      </w:pPr>
      <w:r>
        <w:rPr>
          <w:rFonts w:hint="eastAsia"/>
          <w:color w:val="auto"/>
        </w:rPr>
        <w:t>2.报价总价包括货物、随配附件、备品备件、工具、厂家赠品、运抵指定交货地点费用、保险费、安装及调试费、售后服务、税金及涵盖项目所需交纳的一切税费的总和。</w:t>
      </w:r>
    </w:p>
    <w:p>
      <w:pPr>
        <w:pStyle w:val="6"/>
        <w:spacing w:before="0" w:beforeAutospacing="0" w:after="0" w:afterAutospacing="0"/>
        <w:rPr>
          <w:color w:val="auto"/>
        </w:rPr>
      </w:pPr>
      <w:r>
        <w:rPr>
          <w:rFonts w:hint="eastAsia"/>
          <w:color w:val="auto"/>
        </w:rPr>
        <w:t>3.由于项目变更而追加或减少的数量,一律按中标单位所报子目的单价计算。</w:t>
      </w:r>
    </w:p>
    <w:p>
      <w:pPr>
        <w:pStyle w:val="6"/>
        <w:spacing w:before="0" w:beforeAutospacing="0" w:after="0" w:afterAutospacing="0"/>
        <w:rPr>
          <w:color w:val="auto"/>
        </w:rPr>
      </w:pPr>
      <w:r>
        <w:rPr>
          <w:rFonts w:hint="eastAsia"/>
          <w:color w:val="auto"/>
        </w:rPr>
        <w:t>4.此表可根据需要延伸、变更。</w:t>
      </w:r>
    </w:p>
    <w:p>
      <w:pPr>
        <w:pStyle w:val="6"/>
        <w:spacing w:before="0" w:beforeAutospacing="0" w:after="0" w:afterAutospacing="0"/>
        <w:rPr>
          <w:color w:val="auto"/>
        </w:rPr>
      </w:pPr>
      <w:r>
        <w:rPr>
          <w:rFonts w:hint="eastAsia"/>
          <w:color w:val="auto"/>
        </w:rPr>
        <w:t>5.注明用材的产地、规格及质保承诺。</w:t>
      </w:r>
    </w:p>
    <w:p>
      <w:pPr>
        <w:ind w:firstLine="7680" w:firstLineChars="3200"/>
        <w:rPr>
          <w:rFonts w:ascii="仿宋_GB2312" w:eastAsia="仿宋_GB2312"/>
          <w:color w:val="auto"/>
          <w:sz w:val="24"/>
          <w:u w:val="single"/>
        </w:rPr>
      </w:pPr>
      <w:r>
        <w:rPr>
          <w:rFonts w:hint="eastAsia" w:ascii="仿宋_GB2312" w:eastAsia="仿宋_GB2312"/>
          <w:color w:val="auto"/>
          <w:sz w:val="24"/>
        </w:rPr>
        <w:t>投标人授权代表签字盖章：</w:t>
      </w:r>
      <w:r>
        <w:rPr>
          <w:rFonts w:hint="eastAsia" w:ascii="仿宋_GB2312" w:eastAsia="仿宋_GB2312"/>
          <w:color w:val="auto"/>
          <w:sz w:val="24"/>
          <w:u w:val="single"/>
        </w:rPr>
        <w:t xml:space="preserve">                      </w:t>
      </w:r>
    </w:p>
    <w:p>
      <w:pPr>
        <w:ind w:firstLine="7680" w:firstLineChars="3200"/>
        <w:rPr>
          <w:rFonts w:ascii="仿宋_GB2312" w:eastAsia="仿宋_GB2312"/>
          <w:color w:val="auto"/>
          <w:sz w:val="24"/>
        </w:rPr>
      </w:pPr>
      <w:r>
        <w:rPr>
          <w:rFonts w:hint="eastAsia" w:ascii="仿宋_GB2312" w:eastAsia="仿宋_GB2312"/>
          <w:color w:val="auto"/>
          <w:sz w:val="24"/>
        </w:rPr>
        <w:t>投标人公章：</w:t>
      </w:r>
    </w:p>
    <w:p>
      <w:pPr>
        <w:ind w:firstLine="7680" w:firstLineChars="3200"/>
        <w:rPr>
          <w:rFonts w:ascii="仿宋_GB2312" w:eastAsia="仿宋_GB2312"/>
          <w:color w:val="auto"/>
          <w:sz w:val="24"/>
        </w:rPr>
      </w:pPr>
      <w:r>
        <w:rPr>
          <w:rFonts w:hint="eastAsia" w:ascii="仿宋_GB2312" w:eastAsia="仿宋_GB2312"/>
          <w:color w:val="auto"/>
          <w:sz w:val="24"/>
        </w:rPr>
        <w:t>日期：2016年    月  日</w:t>
      </w:r>
    </w:p>
    <w:p>
      <w:pPr>
        <w:widowControl/>
        <w:jc w:val="left"/>
        <w:rPr>
          <w:rFonts w:ascii="仿宋_GB2312" w:eastAsia="仿宋_GB2312"/>
          <w:color w:val="auto"/>
          <w:sz w:val="24"/>
        </w:rPr>
      </w:pPr>
      <w:r>
        <w:rPr>
          <w:rFonts w:ascii="仿宋_GB2312" w:eastAsia="仿宋_GB2312"/>
          <w:color w:val="auto"/>
          <w:sz w:val="24"/>
        </w:rPr>
        <w:br w:type="page"/>
      </w:r>
    </w:p>
    <w:p>
      <w:pPr>
        <w:ind w:firstLine="7680" w:firstLineChars="3200"/>
        <w:rPr>
          <w:rFonts w:ascii="仿宋_GB2312" w:eastAsia="仿宋_GB2312"/>
          <w:color w:val="auto"/>
          <w:sz w:val="24"/>
          <w:u w:val="single"/>
        </w:rPr>
      </w:pPr>
    </w:p>
    <w:p>
      <w:pPr>
        <w:rPr>
          <w:b/>
          <w:color w:val="auto"/>
          <w:sz w:val="28"/>
        </w:rPr>
      </w:pPr>
      <w:r>
        <w:rPr>
          <w:rFonts w:hint="eastAsia"/>
          <w:b/>
          <w:color w:val="auto"/>
          <w:sz w:val="28"/>
        </w:rPr>
        <w:t>附录E：</w:t>
      </w:r>
    </w:p>
    <w:p>
      <w:pPr>
        <w:jc w:val="center"/>
        <w:rPr>
          <w:rFonts w:ascii="仿宋_GB2312" w:eastAsia="仿宋_GB2312"/>
          <w:color w:val="auto"/>
          <w:sz w:val="28"/>
          <w:szCs w:val="28"/>
        </w:rPr>
      </w:pPr>
      <w:r>
        <w:rPr>
          <w:rFonts w:hint="eastAsia" w:ascii="仿宋_GB2312" w:eastAsia="仿宋_GB2312"/>
          <w:color w:val="auto"/>
          <w:sz w:val="28"/>
          <w:szCs w:val="28"/>
        </w:rPr>
        <w:t>报价表</w:t>
      </w:r>
    </w:p>
    <w:p>
      <w:pPr>
        <w:rPr>
          <w:rFonts w:ascii="仿宋_GB2312" w:eastAsia="仿宋_GB2312"/>
          <w:color w:val="auto"/>
          <w:sz w:val="24"/>
          <w:u w:val="single"/>
        </w:rPr>
      </w:pPr>
      <w:r>
        <w:rPr>
          <w:rFonts w:hint="eastAsia" w:ascii="仿宋_GB2312" w:eastAsia="仿宋_GB2312"/>
          <w:color w:val="auto"/>
          <w:sz w:val="24"/>
        </w:rPr>
        <w:t>项 目 名 称：</w:t>
      </w:r>
      <w:r>
        <w:rPr>
          <w:rFonts w:hint="eastAsia" w:eastAsia="仿宋_GB2312"/>
          <w:color w:val="auto"/>
          <w:sz w:val="24"/>
          <w:u w:val="single"/>
        </w:rPr>
        <w:t xml:space="preserve">                            </w:t>
      </w:r>
    </w:p>
    <w:p>
      <w:pPr>
        <w:rPr>
          <w:rFonts w:ascii="仿宋_GB2312" w:eastAsia="仿宋_GB2312"/>
          <w:color w:val="auto"/>
          <w:sz w:val="24"/>
          <w:u w:val="single"/>
        </w:rPr>
      </w:pPr>
      <w:r>
        <w:rPr>
          <w:rFonts w:hint="eastAsia" w:ascii="仿宋_GB2312" w:eastAsia="仿宋_GB2312"/>
          <w:color w:val="auto"/>
          <w:sz w:val="24"/>
        </w:rPr>
        <w:t>标 书 编 号：</w:t>
      </w:r>
      <w:r>
        <w:rPr>
          <w:rFonts w:hint="eastAsia" w:ascii="仿宋_GB2312" w:eastAsia="仿宋_GB2312"/>
          <w:color w:val="auto"/>
          <w:sz w:val="24"/>
          <w:u w:val="single"/>
        </w:rPr>
        <w:t xml:space="preserve">                          </w:t>
      </w:r>
    </w:p>
    <w:p>
      <w:pPr>
        <w:rPr>
          <w:rFonts w:ascii="仿宋_GB2312" w:eastAsia="仿宋_GB2312"/>
          <w:color w:val="auto"/>
          <w:sz w:val="24"/>
          <w:u w:val="single"/>
        </w:rPr>
      </w:pPr>
      <w:r>
        <w:rPr>
          <w:rFonts w:hint="eastAsia" w:ascii="仿宋_GB2312" w:eastAsia="仿宋_GB2312"/>
          <w:color w:val="auto"/>
          <w:sz w:val="24"/>
        </w:rPr>
        <w:t>投标人名称（公章）：</w:t>
      </w:r>
      <w:r>
        <w:rPr>
          <w:rFonts w:hint="eastAsia" w:ascii="仿宋_GB2312" w:eastAsia="仿宋_GB2312"/>
          <w:color w:val="auto"/>
          <w:sz w:val="24"/>
          <w:u w:val="single"/>
        </w:rPr>
        <w:t xml:space="preserve">            </w:t>
      </w:r>
    </w:p>
    <w:p>
      <w:pPr>
        <w:ind w:firstLine="10080" w:firstLineChars="4200"/>
        <w:rPr>
          <w:rFonts w:ascii="仿宋_GB2312" w:eastAsia="仿宋_GB2312"/>
          <w:color w:val="auto"/>
          <w:sz w:val="24"/>
        </w:rPr>
      </w:pPr>
      <w:r>
        <w:rPr>
          <w:rFonts w:hint="eastAsia" w:ascii="仿宋_GB2312" w:eastAsia="仿宋_GB2312"/>
          <w:color w:val="auto"/>
          <w:sz w:val="24"/>
        </w:rPr>
        <w:t>货币单位：人民币元</w:t>
      </w:r>
    </w:p>
    <w:tbl>
      <w:tblPr>
        <w:tblStyle w:val="8"/>
        <w:tblW w:w="12782" w:type="dxa"/>
        <w:jc w:val="center"/>
        <w:tblInd w:w="-1504" w:type="dxa"/>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4515"/>
        <w:gridCol w:w="2955"/>
        <w:gridCol w:w="5312"/>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884" w:hRule="atLeast"/>
          <w:jc w:val="center"/>
        </w:trPr>
        <w:tc>
          <w:tcPr>
            <w:tcW w:w="4515" w:type="dxa"/>
            <w:tcBorders>
              <w:top w:val="double" w:color="000000" w:sz="6" w:space="0"/>
              <w:left w:val="double" w:color="000000" w:sz="6" w:space="0"/>
              <w:bottom w:val="double" w:color="000000" w:sz="2" w:space="0"/>
              <w:right w:val="double" w:color="000000" w:sz="2" w:space="0"/>
            </w:tcBorders>
            <w:vAlign w:val="center"/>
          </w:tcPr>
          <w:p>
            <w:pPr>
              <w:jc w:val="center"/>
              <w:rPr>
                <w:rFonts w:ascii="仿宋_GB2312" w:eastAsia="仿宋_GB2312"/>
                <w:color w:val="auto"/>
                <w:sz w:val="24"/>
              </w:rPr>
            </w:pPr>
            <w:r>
              <w:rPr>
                <w:rFonts w:hint="eastAsia" w:ascii="仿宋_GB2312" w:eastAsia="仿宋_GB2312"/>
                <w:color w:val="auto"/>
                <w:sz w:val="24"/>
              </w:rPr>
              <w:t>项目名称</w:t>
            </w:r>
          </w:p>
        </w:tc>
        <w:tc>
          <w:tcPr>
            <w:tcW w:w="2955" w:type="dxa"/>
            <w:tcBorders>
              <w:top w:val="double" w:color="000000" w:sz="6" w:space="0"/>
              <w:left w:val="double" w:color="000000" w:sz="2" w:space="0"/>
              <w:bottom w:val="double" w:color="000000" w:sz="2" w:space="0"/>
              <w:right w:val="double" w:color="000000" w:sz="2" w:space="0"/>
            </w:tcBorders>
            <w:vAlign w:val="center"/>
          </w:tcPr>
          <w:p>
            <w:pPr>
              <w:jc w:val="center"/>
              <w:rPr>
                <w:rFonts w:ascii="仿宋_GB2312" w:eastAsia="仿宋_GB2312"/>
                <w:color w:val="auto"/>
                <w:sz w:val="24"/>
              </w:rPr>
            </w:pPr>
            <w:r>
              <w:rPr>
                <w:rFonts w:hint="eastAsia" w:ascii="仿宋_GB2312" w:eastAsia="仿宋_GB2312"/>
                <w:color w:val="auto"/>
                <w:sz w:val="24"/>
              </w:rPr>
              <w:t>项目内容</w:t>
            </w:r>
          </w:p>
        </w:tc>
        <w:tc>
          <w:tcPr>
            <w:tcW w:w="5312" w:type="dxa"/>
            <w:tcBorders>
              <w:top w:val="double" w:color="000000" w:sz="6" w:space="0"/>
              <w:left w:val="double" w:color="auto" w:sz="4" w:space="0"/>
              <w:bottom w:val="double" w:color="000000" w:sz="2" w:space="0"/>
              <w:right w:val="double" w:color="000000" w:sz="2" w:space="0"/>
            </w:tcBorders>
            <w:vAlign w:val="center"/>
          </w:tcPr>
          <w:p>
            <w:pPr>
              <w:jc w:val="center"/>
              <w:rPr>
                <w:rFonts w:ascii="仿宋_GB2312" w:eastAsia="仿宋_GB2312"/>
                <w:color w:val="auto"/>
                <w:sz w:val="24"/>
              </w:rPr>
            </w:pPr>
            <w:r>
              <w:rPr>
                <w:rFonts w:hint="eastAsia" w:ascii="仿宋_GB2312" w:eastAsia="仿宋_GB2312"/>
                <w:color w:val="auto"/>
                <w:sz w:val="24"/>
              </w:rPr>
              <w:t>总价（小写）</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923" w:hRule="atLeast"/>
          <w:jc w:val="center"/>
        </w:trPr>
        <w:tc>
          <w:tcPr>
            <w:tcW w:w="4515" w:type="dxa"/>
            <w:tcBorders>
              <w:top w:val="double" w:color="000000" w:sz="2" w:space="0"/>
              <w:left w:val="double" w:color="000000" w:sz="6" w:space="0"/>
              <w:bottom w:val="double" w:color="000000" w:sz="2" w:space="0"/>
              <w:right w:val="double" w:color="000000" w:sz="2" w:space="0"/>
            </w:tcBorders>
            <w:vAlign w:val="center"/>
          </w:tcPr>
          <w:p>
            <w:pPr>
              <w:jc w:val="center"/>
              <w:rPr>
                <w:rFonts w:eastAsia="仿宋_GB2312"/>
                <w:color w:val="auto"/>
                <w:sz w:val="24"/>
              </w:rPr>
            </w:pPr>
            <w:r>
              <w:rPr>
                <w:rFonts w:hint="eastAsia" w:eastAsia="仿宋_GB2312"/>
                <w:color w:val="auto"/>
                <w:sz w:val="24"/>
              </w:rPr>
              <w:t>语音室改造项目</w:t>
            </w:r>
          </w:p>
        </w:tc>
        <w:tc>
          <w:tcPr>
            <w:tcW w:w="2955" w:type="dxa"/>
            <w:tcBorders>
              <w:top w:val="double" w:color="000000" w:sz="2" w:space="0"/>
              <w:left w:val="double" w:color="000000" w:sz="2" w:space="0"/>
              <w:bottom w:val="double" w:color="000000" w:sz="2" w:space="0"/>
              <w:right w:val="double" w:color="000000" w:sz="2" w:space="0"/>
            </w:tcBorders>
            <w:vAlign w:val="center"/>
          </w:tcPr>
          <w:p>
            <w:pPr>
              <w:jc w:val="center"/>
              <w:rPr>
                <w:rFonts w:ascii="仿宋_GB2312" w:eastAsia="仿宋_GB2312"/>
                <w:color w:val="auto"/>
                <w:sz w:val="24"/>
              </w:rPr>
            </w:pPr>
            <w:r>
              <w:rPr>
                <w:rFonts w:hint="eastAsia" w:ascii="仿宋_GB2312" w:eastAsia="仿宋_GB2312"/>
                <w:color w:val="auto"/>
                <w:sz w:val="24"/>
              </w:rPr>
              <w:t>详见投标文件</w:t>
            </w:r>
          </w:p>
        </w:tc>
        <w:tc>
          <w:tcPr>
            <w:tcW w:w="5312" w:type="dxa"/>
            <w:tcBorders>
              <w:top w:val="double" w:color="000000" w:sz="2" w:space="0"/>
              <w:left w:val="double" w:color="auto" w:sz="4" w:space="0"/>
              <w:bottom w:val="double" w:color="000000" w:sz="2" w:space="0"/>
              <w:right w:val="double" w:color="000000" w:sz="2" w:space="0"/>
            </w:tcBorders>
            <w:vAlign w:val="center"/>
          </w:tcPr>
          <w:p>
            <w:pPr>
              <w:jc w:val="center"/>
              <w:rPr>
                <w:rFonts w:ascii="仿宋_GB2312" w:eastAsia="仿宋_GB2312"/>
                <w:color w:val="auto"/>
                <w:sz w:val="24"/>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923" w:hRule="atLeast"/>
          <w:jc w:val="center"/>
        </w:trPr>
        <w:tc>
          <w:tcPr>
            <w:tcW w:w="7470" w:type="dxa"/>
            <w:gridSpan w:val="2"/>
            <w:tcBorders>
              <w:top w:val="double" w:color="000000" w:sz="2" w:space="0"/>
              <w:left w:val="double" w:color="000000" w:sz="6" w:space="0"/>
              <w:bottom w:val="double" w:color="000000" w:sz="2" w:space="0"/>
              <w:right w:val="double" w:color="000000" w:sz="2" w:space="0"/>
            </w:tcBorders>
            <w:vAlign w:val="center"/>
          </w:tcPr>
          <w:p>
            <w:pPr>
              <w:jc w:val="center"/>
              <w:rPr>
                <w:rFonts w:ascii="仿宋_GB2312" w:eastAsia="仿宋_GB2312"/>
                <w:color w:val="auto"/>
                <w:sz w:val="24"/>
              </w:rPr>
            </w:pPr>
            <w:r>
              <w:rPr>
                <w:rFonts w:hint="eastAsia" w:ascii="仿宋_GB2312" w:eastAsia="仿宋_GB2312"/>
                <w:color w:val="auto"/>
                <w:sz w:val="24"/>
              </w:rPr>
              <w:t>总价（大写）</w:t>
            </w:r>
          </w:p>
        </w:tc>
        <w:tc>
          <w:tcPr>
            <w:tcW w:w="5312" w:type="dxa"/>
            <w:tcBorders>
              <w:top w:val="double" w:color="000000" w:sz="2" w:space="0"/>
              <w:left w:val="double" w:color="auto" w:sz="4" w:space="0"/>
              <w:bottom w:val="double" w:color="000000" w:sz="2" w:space="0"/>
              <w:right w:val="double" w:color="000000" w:sz="2" w:space="0"/>
            </w:tcBorders>
            <w:vAlign w:val="center"/>
          </w:tcPr>
          <w:p>
            <w:pPr>
              <w:jc w:val="center"/>
              <w:rPr>
                <w:rFonts w:ascii="仿宋_GB2312" w:eastAsia="仿宋_GB2312"/>
                <w:color w:val="auto"/>
                <w:sz w:val="24"/>
              </w:rPr>
            </w:pPr>
          </w:p>
        </w:tc>
      </w:tr>
    </w:tbl>
    <w:p>
      <w:pPr>
        <w:ind w:firstLine="10080" w:firstLineChars="4200"/>
        <w:rPr>
          <w:rFonts w:ascii="仿宋_GB2312" w:eastAsia="仿宋_GB2312"/>
          <w:color w:val="auto"/>
          <w:sz w:val="24"/>
        </w:rPr>
      </w:pPr>
    </w:p>
    <w:p>
      <w:pPr>
        <w:ind w:firstLine="10080" w:firstLineChars="4200"/>
        <w:rPr>
          <w:rFonts w:ascii="仿宋_GB2312" w:eastAsia="仿宋_GB2312"/>
          <w:color w:val="auto"/>
          <w:sz w:val="24"/>
        </w:rPr>
      </w:pPr>
    </w:p>
    <w:p>
      <w:pPr>
        <w:ind w:firstLine="10080" w:firstLineChars="4200"/>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r>
        <w:rPr>
          <w:rFonts w:hint="eastAsia" w:ascii="仿宋_GB2312" w:eastAsia="仿宋_GB2312"/>
          <w:color w:val="auto"/>
          <w:sz w:val="24"/>
        </w:rPr>
        <w:t>投标人授权代表签字盖章：</w:t>
      </w: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r>
        <w:rPr>
          <w:rFonts w:hint="eastAsia" w:ascii="仿宋_GB2312" w:eastAsia="仿宋_GB2312"/>
          <w:color w:val="auto"/>
          <w:sz w:val="24"/>
        </w:rPr>
        <w:t xml:space="preserve">                                                                                日期：2016年  月   日</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imesNewRomanPSMT">
    <w:altName w:val="MS Gothic"/>
    <w:panose1 w:val="00000000000000000000"/>
    <w:charset w:val="80"/>
    <w:family w:val="auto"/>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10" w:usb3="00000000" w:csb0="00040000" w:csb1="00000000"/>
  </w:font>
  <w:font w:name="MS Gothic">
    <w:panose1 w:val="020B0609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872157657" o:spid="_x0000_s4098" o:spt="136" type="#_x0000_t136" style="position:absolute;left:0pt;height:53.2pt;width:532.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江苏建筑职业技术学院"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872157656" o:spid="_x0000_s4097" o:spt="136" type="#_x0000_t136" style="position:absolute;left:0pt;height:53.2pt;width:532.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江苏建筑职业技术学院"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83"/>
    <w:rsid w:val="000D7956"/>
    <w:rsid w:val="000E34A9"/>
    <w:rsid w:val="000F7256"/>
    <w:rsid w:val="00156809"/>
    <w:rsid w:val="00161643"/>
    <w:rsid w:val="00172A27"/>
    <w:rsid w:val="001A7BEE"/>
    <w:rsid w:val="001C7DA3"/>
    <w:rsid w:val="0021535D"/>
    <w:rsid w:val="00281B6C"/>
    <w:rsid w:val="002A5BFE"/>
    <w:rsid w:val="002B5969"/>
    <w:rsid w:val="002B6397"/>
    <w:rsid w:val="0031382F"/>
    <w:rsid w:val="00393372"/>
    <w:rsid w:val="003B5D19"/>
    <w:rsid w:val="003E25CE"/>
    <w:rsid w:val="003F416A"/>
    <w:rsid w:val="00422D60"/>
    <w:rsid w:val="004620D2"/>
    <w:rsid w:val="004D7A12"/>
    <w:rsid w:val="004E4EFB"/>
    <w:rsid w:val="00533DF0"/>
    <w:rsid w:val="0054097E"/>
    <w:rsid w:val="00543A59"/>
    <w:rsid w:val="00553EA9"/>
    <w:rsid w:val="00571367"/>
    <w:rsid w:val="005E5C15"/>
    <w:rsid w:val="006542DB"/>
    <w:rsid w:val="006777B2"/>
    <w:rsid w:val="00690734"/>
    <w:rsid w:val="006A02BC"/>
    <w:rsid w:val="006A0B0D"/>
    <w:rsid w:val="006C7621"/>
    <w:rsid w:val="006D47D3"/>
    <w:rsid w:val="0070730D"/>
    <w:rsid w:val="00746E7B"/>
    <w:rsid w:val="007C2C58"/>
    <w:rsid w:val="007E068D"/>
    <w:rsid w:val="00870B51"/>
    <w:rsid w:val="0087668E"/>
    <w:rsid w:val="00884E91"/>
    <w:rsid w:val="00912187"/>
    <w:rsid w:val="0093425F"/>
    <w:rsid w:val="00951556"/>
    <w:rsid w:val="00952B43"/>
    <w:rsid w:val="009D32F7"/>
    <w:rsid w:val="00A609A4"/>
    <w:rsid w:val="00A84174"/>
    <w:rsid w:val="00A909FC"/>
    <w:rsid w:val="00AC45DA"/>
    <w:rsid w:val="00AD7370"/>
    <w:rsid w:val="00B55212"/>
    <w:rsid w:val="00B754AA"/>
    <w:rsid w:val="00B974FB"/>
    <w:rsid w:val="00C036CE"/>
    <w:rsid w:val="00C517EB"/>
    <w:rsid w:val="00C56CBB"/>
    <w:rsid w:val="00CB1EF6"/>
    <w:rsid w:val="00CC6FD4"/>
    <w:rsid w:val="00CD66E7"/>
    <w:rsid w:val="00D36191"/>
    <w:rsid w:val="00DD05FB"/>
    <w:rsid w:val="00DF4C99"/>
    <w:rsid w:val="00E01349"/>
    <w:rsid w:val="00E6725F"/>
    <w:rsid w:val="00E832B8"/>
    <w:rsid w:val="00EE781E"/>
    <w:rsid w:val="00F4451C"/>
    <w:rsid w:val="00F4662A"/>
    <w:rsid w:val="00FF45E0"/>
    <w:rsid w:val="00FF62C8"/>
    <w:rsid w:val="0B140E6D"/>
    <w:rsid w:val="0C69554F"/>
    <w:rsid w:val="10D801C9"/>
    <w:rsid w:val="110D0DE6"/>
    <w:rsid w:val="122A0DE3"/>
    <w:rsid w:val="198513D5"/>
    <w:rsid w:val="1EDD4E96"/>
    <w:rsid w:val="1FDC06FF"/>
    <w:rsid w:val="20DB6D31"/>
    <w:rsid w:val="240D5D4A"/>
    <w:rsid w:val="273E3D25"/>
    <w:rsid w:val="2A2D26BD"/>
    <w:rsid w:val="2A553FC5"/>
    <w:rsid w:val="32081AE6"/>
    <w:rsid w:val="329F0C22"/>
    <w:rsid w:val="35526DFD"/>
    <w:rsid w:val="3A7F69B1"/>
    <w:rsid w:val="4B8026CC"/>
    <w:rsid w:val="502E6149"/>
    <w:rsid w:val="59F11C7D"/>
    <w:rsid w:val="5D1D3A3E"/>
    <w:rsid w:val="5D857839"/>
    <w:rsid w:val="5FB47468"/>
    <w:rsid w:val="61BB41FA"/>
    <w:rsid w:val="62850CFA"/>
    <w:rsid w:val="63F91438"/>
    <w:rsid w:val="67262F0F"/>
    <w:rsid w:val="6C306DA0"/>
    <w:rsid w:val="73790FFB"/>
    <w:rsid w:val="76A20FFA"/>
    <w:rsid w:val="7FD14A6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autoSpaceDE w:val="0"/>
      <w:autoSpaceDN w:val="0"/>
      <w:adjustRightInd w:val="0"/>
      <w:spacing w:before="260" w:after="260"/>
      <w:jc w:val="left"/>
      <w:outlineLvl w:val="1"/>
    </w:pPr>
    <w:rPr>
      <w:rFonts w:ascii="宋体" w:hAnsi="Times New Roman" w:eastAsia="宋体" w:cs="Times New Roman"/>
      <w:kern w:val="0"/>
      <w:sz w:val="20"/>
      <w:szCs w:val="24"/>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1"/>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kern w:val="2"/>
      <w:sz w:val="18"/>
      <w:szCs w:val="18"/>
    </w:rPr>
  </w:style>
  <w:style w:type="character" w:customStyle="1" w:styleId="10">
    <w:name w:val="页脚 Char"/>
    <w:basedOn w:val="7"/>
    <w:link w:val="4"/>
    <w:qFormat/>
    <w:uiPriority w:val="99"/>
    <w:rPr>
      <w:kern w:val="2"/>
      <w:sz w:val="18"/>
      <w:szCs w:val="18"/>
    </w:rPr>
  </w:style>
  <w:style w:type="character" w:customStyle="1" w:styleId="11">
    <w:name w:val="日期 Char"/>
    <w:basedOn w:val="7"/>
    <w:link w:val="3"/>
    <w:semiHidden/>
    <w:qFormat/>
    <w:uiPriority w:val="99"/>
    <w:rPr>
      <w:kern w:val="2"/>
      <w:sz w:val="21"/>
      <w:szCs w:val="22"/>
    </w:rPr>
  </w:style>
  <w:style w:type="paragraph" w:customStyle="1" w:styleId="12">
    <w:name w:val="List Paragraph"/>
    <w:basedOn w:val="1"/>
    <w:unhideWhenUsed/>
    <w:qFormat/>
    <w:uiPriority w:val="0"/>
    <w:pPr>
      <w:ind w:firstLine="420" w:firstLineChars="200"/>
    </w:pPr>
  </w:style>
  <w:style w:type="character" w:customStyle="1" w:styleId="13">
    <w:name w:val="标题 2 Char"/>
    <w:basedOn w:val="7"/>
    <w:link w:val="2"/>
    <w:qFormat/>
    <w:uiPriority w:val="0"/>
    <w:rPr>
      <w:rFonts w:ascii="宋体" w:hAnsi="Times New Roman" w:eastAsia="宋体" w:cs="Times New Roman"/>
      <w:szCs w:val="24"/>
    </w:rPr>
  </w:style>
  <w:style w:type="paragraph" w:customStyle="1" w:styleId="14">
    <w:name w:val="默认段落字体 Para Char Char Char Char Char Char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4AAFE-97EA-4AEE-A1D2-86059BA8526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23</Pages>
  <Words>1871</Words>
  <Characters>10668</Characters>
  <Lines>88</Lines>
  <Paragraphs>25</Paragraphs>
  <ScaleCrop>false</ScaleCrop>
  <LinksUpToDate>false</LinksUpToDate>
  <CharactersWithSpaces>12514</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2016-03-01T08:34:00Z</dcterms:created>
  <dc:creator>Lenovo User</dc:creator>
  <cp:lastModifiedBy>Administrator</cp:lastModifiedBy>
  <dcterms:modified xsi:type="dcterms:W3CDTF">2016-09-19T02:24:31Z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